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p>
    <w:p>
      <w:pPr>
        <w:pStyle w:val="2"/>
      </w:pPr>
    </w:p>
    <w:p>
      <w:pPr>
        <w:jc w:val="center"/>
        <w:rPr>
          <w:rFonts w:hint="eastAsia" w:ascii="宋体" w:hAnsi="宋体"/>
          <w:b/>
          <w:bCs/>
          <w:color w:val="auto"/>
          <w:sz w:val="44"/>
          <w:szCs w:val="44"/>
          <w:lang w:eastAsia="zh-CN"/>
        </w:rPr>
      </w:pPr>
    </w:p>
    <w:p>
      <w:pPr>
        <w:jc w:val="center"/>
        <w:rPr>
          <w:rFonts w:ascii="宋体" w:hAnsi="宋体"/>
          <w:b/>
          <w:bCs/>
          <w:color w:val="auto"/>
          <w:sz w:val="44"/>
          <w:szCs w:val="44"/>
        </w:rPr>
      </w:pPr>
      <w:r>
        <w:rPr>
          <w:rFonts w:hint="eastAsia" w:ascii="宋体" w:hAnsi="宋体"/>
          <w:b/>
          <w:bCs/>
          <w:color w:val="auto"/>
          <w:sz w:val="44"/>
          <w:szCs w:val="44"/>
          <w:lang w:eastAsia="zh-CN"/>
        </w:rPr>
        <w:t>青海西钢再生资源综合利用开发有限公司</w:t>
      </w:r>
      <w:r>
        <w:rPr>
          <w:rFonts w:hint="eastAsia" w:ascii="宋体" w:hAnsi="宋体"/>
          <w:b/>
          <w:bCs/>
          <w:color w:val="auto"/>
          <w:sz w:val="44"/>
          <w:szCs w:val="44"/>
          <w:lang w:val="en-US" w:eastAsia="zh-CN"/>
        </w:rPr>
        <w:t>2021年7月废旧物资销售</w:t>
      </w:r>
      <w:r>
        <w:rPr>
          <w:rFonts w:hint="eastAsia" w:ascii="宋体" w:hAnsi="宋体"/>
          <w:b/>
          <w:bCs/>
          <w:color w:val="auto"/>
          <w:sz w:val="44"/>
          <w:szCs w:val="44"/>
          <w:lang w:eastAsia="zh-CN"/>
        </w:rPr>
        <w:t>项目</w:t>
      </w:r>
    </w:p>
    <w:p>
      <w:pPr>
        <w:jc w:val="center"/>
        <w:rPr>
          <w:rFonts w:ascii="宋体" w:hAnsi="宋体"/>
          <w:b/>
          <w:bCs/>
          <w:color w:val="auto"/>
          <w:sz w:val="44"/>
          <w:szCs w:val="44"/>
        </w:rPr>
      </w:pPr>
    </w:p>
    <w:p>
      <w:pPr>
        <w:jc w:val="both"/>
        <w:rPr>
          <w:rFonts w:ascii="宋体" w:hAnsi="宋体"/>
          <w:b/>
          <w:bCs/>
          <w:color w:val="auto"/>
          <w:sz w:val="32"/>
          <w:szCs w:val="32"/>
        </w:rPr>
      </w:pPr>
    </w:p>
    <w:p>
      <w:pPr>
        <w:jc w:val="center"/>
        <w:rPr>
          <w:rFonts w:hint="eastAsia" w:ascii="宋体" w:hAnsi="宋体"/>
          <w:b/>
          <w:bCs/>
          <w:color w:val="auto"/>
          <w:sz w:val="32"/>
          <w:szCs w:val="32"/>
          <w:lang w:eastAsia="zh-CN"/>
        </w:rPr>
      </w:pPr>
      <w:r>
        <w:rPr>
          <w:rFonts w:hint="eastAsia" w:ascii="宋体" w:hAnsi="宋体"/>
          <w:b/>
          <w:bCs/>
          <w:color w:val="auto"/>
          <w:sz w:val="32"/>
          <w:szCs w:val="32"/>
        </w:rPr>
        <w:t>招标编号：</w:t>
      </w:r>
      <w:r>
        <w:rPr>
          <w:rFonts w:hint="eastAsia" w:ascii="宋体" w:hAnsi="宋体"/>
          <w:b/>
          <w:bCs/>
          <w:color w:val="auto"/>
          <w:sz w:val="32"/>
          <w:szCs w:val="32"/>
          <w:lang w:eastAsia="zh-CN"/>
        </w:rPr>
        <w:t>XNTG21053</w:t>
      </w:r>
    </w:p>
    <w:p>
      <w:pPr>
        <w:jc w:val="center"/>
        <w:rPr>
          <w:rFonts w:ascii="宋体" w:hAnsi="宋体"/>
          <w:b/>
          <w:bCs/>
          <w:color w:val="auto"/>
          <w:sz w:val="52"/>
          <w:szCs w:val="52"/>
        </w:rPr>
      </w:pPr>
      <w:r>
        <w:rPr>
          <w:rFonts w:hint="eastAsia" w:ascii="宋体" w:hAnsi="宋体"/>
          <w:b/>
          <w:bCs/>
          <w:color w:val="auto"/>
          <w:sz w:val="52"/>
          <w:szCs w:val="52"/>
        </w:rPr>
        <w:t>招标文件</w:t>
      </w:r>
    </w:p>
    <w:p>
      <w:pPr>
        <w:jc w:val="center"/>
        <w:rPr>
          <w:rFonts w:ascii="宋体" w:hAnsi="宋体"/>
          <w:b/>
          <w:bCs/>
          <w:color w:val="auto"/>
          <w:sz w:val="52"/>
          <w:szCs w:val="52"/>
        </w:rPr>
      </w:pPr>
    </w:p>
    <w:p>
      <w:pPr>
        <w:jc w:val="both"/>
        <w:rPr>
          <w:rFonts w:ascii="宋体" w:hAnsi="宋体"/>
          <w:b/>
          <w:bCs/>
          <w:color w:val="auto"/>
          <w:sz w:val="52"/>
          <w:szCs w:val="52"/>
        </w:rPr>
      </w:pPr>
    </w:p>
    <w:p>
      <w:pPr>
        <w:rPr>
          <w:rFonts w:hint="eastAsia" w:ascii="宋体" w:hAnsi="宋体"/>
          <w:color w:val="auto"/>
          <w:sz w:val="36"/>
          <w:szCs w:val="36"/>
          <w:lang w:eastAsia="zh-CN"/>
        </w:rPr>
      </w:pPr>
      <w:r>
        <w:rPr>
          <w:rFonts w:hint="eastAsia" w:ascii="宋体" w:hAnsi="宋体"/>
          <w:color w:val="auto"/>
          <w:sz w:val="36"/>
          <w:szCs w:val="36"/>
        </w:rPr>
        <w:t>招标人：</w:t>
      </w:r>
      <w:r>
        <w:rPr>
          <w:rFonts w:hint="eastAsia" w:ascii="宋体" w:hAnsi="宋体"/>
          <w:color w:val="auto"/>
          <w:sz w:val="36"/>
          <w:szCs w:val="36"/>
          <w:lang w:eastAsia="zh-CN"/>
        </w:rPr>
        <w:t>青海西钢再生资源综合利用开发有限公司</w:t>
      </w:r>
    </w:p>
    <w:p>
      <w:pPr>
        <w:rPr>
          <w:rFonts w:hint="eastAsia" w:ascii="宋体" w:hAnsi="宋体" w:eastAsia="宋体"/>
          <w:color w:val="auto"/>
          <w:sz w:val="36"/>
          <w:szCs w:val="36"/>
          <w:lang w:eastAsia="zh-CN"/>
        </w:rPr>
      </w:pPr>
      <w:r>
        <w:rPr>
          <w:rFonts w:hint="eastAsia" w:ascii="宋体" w:hAnsi="宋体"/>
          <w:color w:val="auto"/>
          <w:sz w:val="36"/>
          <w:szCs w:val="36"/>
        </w:rPr>
        <w:t>招标代理机构：青海宝矿工程咨询有限公司</w:t>
      </w:r>
      <w:r>
        <w:rPr>
          <w:rFonts w:hint="eastAsia" w:ascii="宋体" w:hAnsi="宋体"/>
          <w:color w:val="auto"/>
          <w:sz w:val="36"/>
          <w:szCs w:val="36"/>
          <w:lang w:eastAsia="zh-CN"/>
        </w:rPr>
        <w:t>（</w:t>
      </w:r>
      <w:r>
        <w:rPr>
          <w:rFonts w:hint="eastAsia" w:ascii="宋体" w:hAnsi="宋体"/>
          <w:color w:val="auto"/>
          <w:sz w:val="36"/>
          <w:szCs w:val="36"/>
          <w:lang w:val="en-US" w:eastAsia="zh-CN"/>
        </w:rPr>
        <w:t>章</w:t>
      </w:r>
      <w:r>
        <w:rPr>
          <w:rFonts w:hint="eastAsia" w:ascii="宋体" w:hAnsi="宋体"/>
          <w:color w:val="auto"/>
          <w:sz w:val="36"/>
          <w:szCs w:val="36"/>
          <w:lang w:eastAsia="zh-CN"/>
        </w:rPr>
        <w:t>）</w:t>
      </w:r>
    </w:p>
    <w:p>
      <w:pPr>
        <w:rPr>
          <w:rFonts w:ascii="宋体" w:hAnsi="宋体"/>
          <w:color w:val="auto"/>
          <w:sz w:val="36"/>
          <w:szCs w:val="36"/>
        </w:rPr>
      </w:pPr>
      <w:r>
        <w:rPr>
          <w:rFonts w:hint="eastAsia" w:ascii="宋体" w:hAnsi="宋体"/>
          <w:color w:val="auto"/>
          <w:sz w:val="36"/>
          <w:szCs w:val="36"/>
        </w:rPr>
        <w:t>时        间：二〇</w:t>
      </w:r>
      <w:r>
        <w:rPr>
          <w:rFonts w:hint="eastAsia" w:ascii="宋体" w:hAnsi="宋体"/>
          <w:color w:val="auto"/>
          <w:sz w:val="36"/>
          <w:szCs w:val="36"/>
          <w:lang w:val="en-US" w:eastAsia="zh-CN"/>
        </w:rPr>
        <w:t>二一</w:t>
      </w:r>
      <w:r>
        <w:rPr>
          <w:rFonts w:hint="eastAsia" w:ascii="宋体" w:hAnsi="宋体"/>
          <w:color w:val="auto"/>
          <w:sz w:val="36"/>
          <w:szCs w:val="36"/>
        </w:rPr>
        <w:t>年</w:t>
      </w:r>
      <w:r>
        <w:rPr>
          <w:rFonts w:hint="eastAsia" w:ascii="宋体" w:hAnsi="宋体"/>
          <w:color w:val="auto"/>
          <w:sz w:val="36"/>
          <w:szCs w:val="36"/>
          <w:lang w:val="en-US" w:eastAsia="zh-CN"/>
        </w:rPr>
        <w:t>六</w:t>
      </w:r>
      <w:r>
        <w:rPr>
          <w:rFonts w:hint="eastAsia" w:ascii="宋体" w:hAnsi="宋体"/>
          <w:color w:val="auto"/>
          <w:sz w:val="36"/>
          <w:szCs w:val="36"/>
        </w:rPr>
        <w:t>月</w:t>
      </w:r>
    </w:p>
    <w:p>
      <w:pPr>
        <w:pStyle w:val="15"/>
        <w:tabs>
          <w:tab w:val="right" w:leader="dot" w:pos="8306"/>
        </w:tabs>
        <w:jc w:val="center"/>
        <w:rPr>
          <w:rFonts w:hint="eastAsia" w:ascii="宋体" w:hAnsi="宋体"/>
          <w:b/>
          <w:bCs/>
          <w:color w:val="auto"/>
          <w:sz w:val="32"/>
          <w:szCs w:val="32"/>
        </w:rPr>
        <w:sectPr>
          <w:footerReference r:id="rId5" w:type="first"/>
          <w:headerReference r:id="rId3" w:type="default"/>
          <w:footerReference r:id="rId4" w:type="default"/>
          <w:pgSz w:w="11906" w:h="16838"/>
          <w:pgMar w:top="1440" w:right="1417" w:bottom="1440" w:left="1701" w:header="468" w:footer="436" w:gutter="0"/>
          <w:cols w:space="720" w:num="1"/>
          <w:rtlGutter w:val="0"/>
          <w:docGrid w:type="lines" w:linePitch="312" w:charSpace="0"/>
        </w:sectPr>
      </w:pPr>
      <w:bookmarkStart w:id="0" w:name="_Toc30714"/>
    </w:p>
    <w:p>
      <w:pPr>
        <w:pStyle w:val="15"/>
        <w:tabs>
          <w:tab w:val="right" w:leader="dot" w:pos="8306"/>
        </w:tabs>
        <w:jc w:val="center"/>
        <w:rPr>
          <w:rFonts w:ascii="宋体" w:hAnsi="宋体"/>
          <w:b/>
          <w:bCs/>
          <w:color w:val="auto"/>
          <w:sz w:val="32"/>
          <w:szCs w:val="32"/>
        </w:rPr>
      </w:pPr>
      <w:r>
        <w:rPr>
          <w:rFonts w:hint="eastAsia" w:ascii="宋体" w:hAnsi="宋体"/>
          <w:b/>
          <w:bCs/>
          <w:color w:val="auto"/>
          <w:sz w:val="32"/>
          <w:szCs w:val="32"/>
        </w:rPr>
        <w:t>目   录</w:t>
      </w:r>
    </w:p>
    <w:p>
      <w:pPr>
        <w:pStyle w:val="15"/>
        <w:tabs>
          <w:tab w:val="right" w:leader="dot" w:pos="8300"/>
        </w:tabs>
        <w:rPr>
          <w:color w:val="auto"/>
        </w:rPr>
      </w:pPr>
      <w:r>
        <w:rPr>
          <w:rFonts w:hint="eastAsia" w:ascii="宋体" w:hAnsi="宋体"/>
          <w:color w:val="auto"/>
          <w:sz w:val="28"/>
          <w:szCs w:val="28"/>
        </w:rPr>
        <w:fldChar w:fldCharType="begin"/>
      </w:r>
      <w:r>
        <w:rPr>
          <w:rFonts w:hint="eastAsia" w:ascii="宋体" w:hAnsi="宋体"/>
          <w:color w:val="auto"/>
          <w:sz w:val="28"/>
          <w:szCs w:val="28"/>
        </w:rPr>
        <w:instrText xml:space="preserve">TOC \o "1-3" \h \u </w:instrText>
      </w:r>
      <w:r>
        <w:rPr>
          <w:rFonts w:hint="eastAsia" w:ascii="宋体" w:hAnsi="宋体"/>
          <w:color w:val="auto"/>
          <w:sz w:val="28"/>
          <w:szCs w:val="28"/>
        </w:rPr>
        <w:fldChar w:fldCharType="separate"/>
      </w:r>
      <w:r>
        <w:rPr>
          <w:rFonts w:hint="eastAsia" w:ascii="宋体" w:hAnsi="宋体"/>
          <w:color w:val="auto"/>
          <w:szCs w:val="28"/>
        </w:rPr>
        <w:fldChar w:fldCharType="begin"/>
      </w:r>
      <w:r>
        <w:rPr>
          <w:rFonts w:hint="eastAsia" w:ascii="宋体" w:hAnsi="宋体"/>
          <w:color w:val="auto"/>
          <w:szCs w:val="28"/>
        </w:rPr>
        <w:instrText xml:space="preserve"> HYPERLINK \l _Toc22040 </w:instrText>
      </w:r>
      <w:r>
        <w:rPr>
          <w:rFonts w:hint="eastAsia" w:ascii="宋体" w:hAnsi="宋体"/>
          <w:color w:val="auto"/>
          <w:szCs w:val="28"/>
        </w:rPr>
        <w:fldChar w:fldCharType="separate"/>
      </w:r>
      <w:r>
        <w:rPr>
          <w:rFonts w:hint="eastAsia" w:hAnsi="宋体" w:cs="宋体"/>
          <w:color w:val="auto"/>
          <w:szCs w:val="32"/>
        </w:rPr>
        <w:t>第一章 招标公告</w:t>
      </w:r>
      <w:r>
        <w:rPr>
          <w:color w:val="auto"/>
        </w:rPr>
        <w:tab/>
      </w:r>
      <w:r>
        <w:rPr>
          <w:color w:val="auto"/>
        </w:rPr>
        <w:fldChar w:fldCharType="begin"/>
      </w:r>
      <w:r>
        <w:rPr>
          <w:color w:val="auto"/>
        </w:rPr>
        <w:instrText xml:space="preserve"> PAGEREF _Toc22040 </w:instrText>
      </w:r>
      <w:r>
        <w:rPr>
          <w:color w:val="auto"/>
        </w:rPr>
        <w:fldChar w:fldCharType="separate"/>
      </w:r>
      <w:r>
        <w:rPr>
          <w:color w:val="auto"/>
        </w:rPr>
        <w:t>1</w:t>
      </w:r>
      <w:r>
        <w:rPr>
          <w:color w:val="auto"/>
        </w:rPr>
        <w:fldChar w:fldCharType="end"/>
      </w:r>
      <w:r>
        <w:rPr>
          <w:rFonts w:hint="eastAsia" w:ascii="宋体" w:hAnsi="宋体"/>
          <w:color w:val="auto"/>
          <w:szCs w:val="28"/>
        </w:rPr>
        <w:fldChar w:fldCharType="end"/>
      </w:r>
    </w:p>
    <w:p>
      <w:pPr>
        <w:pStyle w:val="15"/>
        <w:tabs>
          <w:tab w:val="right" w:leader="dot" w:pos="8300"/>
        </w:tabs>
        <w:rPr>
          <w:color w:val="auto"/>
        </w:rPr>
      </w:pPr>
      <w:r>
        <w:rPr>
          <w:rFonts w:hint="eastAsia" w:ascii="宋体" w:hAnsi="宋体"/>
          <w:color w:val="auto"/>
          <w:szCs w:val="28"/>
        </w:rPr>
        <w:fldChar w:fldCharType="begin"/>
      </w:r>
      <w:r>
        <w:rPr>
          <w:rFonts w:hint="eastAsia" w:ascii="宋体" w:hAnsi="宋体"/>
          <w:color w:val="auto"/>
          <w:szCs w:val="28"/>
        </w:rPr>
        <w:instrText xml:space="preserve"> HYPERLINK \l _Toc13950 </w:instrText>
      </w:r>
      <w:r>
        <w:rPr>
          <w:rFonts w:hint="eastAsia" w:ascii="宋体" w:hAnsi="宋体"/>
          <w:color w:val="auto"/>
          <w:szCs w:val="28"/>
        </w:rPr>
        <w:fldChar w:fldCharType="separate"/>
      </w:r>
      <w:r>
        <w:rPr>
          <w:rFonts w:hint="eastAsia" w:hAnsi="宋体" w:cs="宋体"/>
          <w:color w:val="auto"/>
          <w:szCs w:val="32"/>
          <w:highlight w:val="none"/>
        </w:rPr>
        <w:t>第二章 投标人须知</w:t>
      </w:r>
      <w:r>
        <w:rPr>
          <w:color w:val="auto"/>
        </w:rPr>
        <w:tab/>
      </w:r>
      <w:r>
        <w:rPr>
          <w:color w:val="auto"/>
        </w:rPr>
        <w:fldChar w:fldCharType="begin"/>
      </w:r>
      <w:r>
        <w:rPr>
          <w:color w:val="auto"/>
        </w:rPr>
        <w:instrText xml:space="preserve"> PAGEREF _Toc13950 </w:instrText>
      </w:r>
      <w:r>
        <w:rPr>
          <w:color w:val="auto"/>
        </w:rPr>
        <w:fldChar w:fldCharType="separate"/>
      </w:r>
      <w:r>
        <w:rPr>
          <w:color w:val="auto"/>
        </w:rPr>
        <w:t>4</w:t>
      </w:r>
      <w:r>
        <w:rPr>
          <w:color w:val="auto"/>
        </w:rPr>
        <w:fldChar w:fldCharType="end"/>
      </w:r>
      <w:r>
        <w:rPr>
          <w:rFonts w:hint="eastAsia" w:ascii="宋体" w:hAnsi="宋体"/>
          <w:color w:val="auto"/>
          <w:szCs w:val="28"/>
        </w:rPr>
        <w:fldChar w:fldCharType="end"/>
      </w:r>
    </w:p>
    <w:p>
      <w:pPr>
        <w:pStyle w:val="15"/>
        <w:tabs>
          <w:tab w:val="right" w:leader="dot" w:pos="8300"/>
        </w:tabs>
        <w:rPr>
          <w:rFonts w:hint="eastAsia" w:eastAsia="宋体"/>
          <w:color w:val="auto"/>
          <w:lang w:val="en-US" w:eastAsia="zh-CN"/>
        </w:rPr>
      </w:pPr>
      <w:r>
        <w:rPr>
          <w:rFonts w:hint="eastAsia" w:ascii="宋体" w:hAnsi="宋体"/>
          <w:color w:val="auto"/>
          <w:szCs w:val="28"/>
        </w:rPr>
        <w:fldChar w:fldCharType="begin"/>
      </w:r>
      <w:r>
        <w:rPr>
          <w:rFonts w:hint="eastAsia" w:ascii="宋体" w:hAnsi="宋体"/>
          <w:color w:val="auto"/>
          <w:szCs w:val="28"/>
        </w:rPr>
        <w:instrText xml:space="preserve"> HYPERLINK \l _Toc5426 </w:instrText>
      </w:r>
      <w:r>
        <w:rPr>
          <w:rFonts w:hint="eastAsia" w:ascii="宋体" w:hAnsi="宋体"/>
          <w:color w:val="auto"/>
          <w:szCs w:val="28"/>
        </w:rPr>
        <w:fldChar w:fldCharType="separate"/>
      </w:r>
      <w:r>
        <w:rPr>
          <w:rFonts w:hint="eastAsia" w:hAnsi="宋体" w:cs="宋体"/>
          <w:color w:val="auto"/>
          <w:szCs w:val="32"/>
        </w:rPr>
        <w:t xml:space="preserve">第三章  </w:t>
      </w:r>
      <w:r>
        <w:rPr>
          <w:rFonts w:hint="eastAsia"/>
          <w:color w:val="auto"/>
          <w:szCs w:val="32"/>
        </w:rPr>
        <w:t>购销合同</w:t>
      </w:r>
      <w:r>
        <w:rPr>
          <w:color w:val="auto"/>
        </w:rPr>
        <w:tab/>
      </w:r>
      <w:r>
        <w:rPr>
          <w:rFonts w:hint="eastAsia"/>
          <w:color w:val="auto"/>
          <w:lang w:val="en-US" w:eastAsia="zh-CN"/>
        </w:rPr>
        <w:t>1</w:t>
      </w:r>
      <w:r>
        <w:rPr>
          <w:rFonts w:hint="eastAsia" w:ascii="宋体" w:hAnsi="宋体"/>
          <w:color w:val="auto"/>
          <w:szCs w:val="28"/>
        </w:rPr>
        <w:fldChar w:fldCharType="end"/>
      </w:r>
      <w:r>
        <w:rPr>
          <w:rFonts w:hint="eastAsia" w:ascii="宋体" w:hAnsi="宋体"/>
          <w:color w:val="auto"/>
          <w:szCs w:val="28"/>
          <w:lang w:val="en-US" w:eastAsia="zh-CN"/>
        </w:rPr>
        <w:t>4</w:t>
      </w:r>
    </w:p>
    <w:p>
      <w:pPr>
        <w:pStyle w:val="15"/>
        <w:tabs>
          <w:tab w:val="right" w:leader="dot" w:pos="8300"/>
        </w:tabs>
        <w:rPr>
          <w:color w:val="auto"/>
        </w:rPr>
      </w:pPr>
      <w:r>
        <w:rPr>
          <w:rFonts w:hint="eastAsia" w:ascii="宋体" w:hAnsi="宋体"/>
          <w:color w:val="auto"/>
          <w:szCs w:val="28"/>
        </w:rPr>
        <w:fldChar w:fldCharType="begin"/>
      </w:r>
      <w:r>
        <w:rPr>
          <w:rFonts w:hint="eastAsia" w:ascii="宋体" w:hAnsi="宋体"/>
          <w:color w:val="auto"/>
          <w:szCs w:val="28"/>
        </w:rPr>
        <w:instrText xml:space="preserve"> HYPERLINK \l _Toc2472 </w:instrText>
      </w:r>
      <w:r>
        <w:rPr>
          <w:rFonts w:hint="eastAsia" w:ascii="宋体" w:hAnsi="宋体"/>
          <w:color w:val="auto"/>
          <w:szCs w:val="28"/>
        </w:rPr>
        <w:fldChar w:fldCharType="separate"/>
      </w:r>
      <w:r>
        <w:rPr>
          <w:rFonts w:hint="eastAsia" w:hAnsi="宋体" w:cs="宋体"/>
          <w:color w:val="auto"/>
          <w:szCs w:val="32"/>
        </w:rPr>
        <w:t>第四章 物资技术资料</w:t>
      </w:r>
      <w:r>
        <w:rPr>
          <w:color w:val="auto"/>
        </w:rPr>
        <w:tab/>
      </w:r>
      <w:r>
        <w:rPr>
          <w:color w:val="auto"/>
        </w:rPr>
        <w:fldChar w:fldCharType="begin"/>
      </w:r>
      <w:r>
        <w:rPr>
          <w:color w:val="auto"/>
        </w:rPr>
        <w:instrText xml:space="preserve"> PAGEREF _Toc2472 </w:instrText>
      </w:r>
      <w:r>
        <w:rPr>
          <w:color w:val="auto"/>
        </w:rPr>
        <w:fldChar w:fldCharType="separate"/>
      </w:r>
      <w:r>
        <w:rPr>
          <w:color w:val="auto"/>
        </w:rPr>
        <w:t>13</w:t>
      </w:r>
      <w:r>
        <w:rPr>
          <w:color w:val="auto"/>
        </w:rPr>
        <w:fldChar w:fldCharType="end"/>
      </w:r>
      <w:r>
        <w:rPr>
          <w:rFonts w:hint="eastAsia" w:ascii="宋体" w:hAnsi="宋体"/>
          <w:color w:val="auto"/>
          <w:szCs w:val="28"/>
        </w:rPr>
        <w:fldChar w:fldCharType="end"/>
      </w:r>
    </w:p>
    <w:p>
      <w:pPr>
        <w:pStyle w:val="15"/>
        <w:tabs>
          <w:tab w:val="right" w:leader="dot" w:pos="8300"/>
        </w:tabs>
        <w:rPr>
          <w:color w:val="auto"/>
        </w:rPr>
      </w:pPr>
      <w:r>
        <w:rPr>
          <w:rFonts w:hint="eastAsia" w:ascii="宋体" w:hAnsi="宋体"/>
          <w:color w:val="auto"/>
          <w:szCs w:val="28"/>
        </w:rPr>
        <w:fldChar w:fldCharType="begin"/>
      </w:r>
      <w:r>
        <w:rPr>
          <w:rFonts w:hint="eastAsia" w:ascii="宋体" w:hAnsi="宋体"/>
          <w:color w:val="auto"/>
          <w:szCs w:val="28"/>
        </w:rPr>
        <w:instrText xml:space="preserve"> HYPERLINK \l _Toc3655 </w:instrText>
      </w:r>
      <w:r>
        <w:rPr>
          <w:rFonts w:hint="eastAsia" w:ascii="宋体" w:hAnsi="宋体"/>
          <w:color w:val="auto"/>
          <w:szCs w:val="28"/>
        </w:rPr>
        <w:fldChar w:fldCharType="separate"/>
      </w:r>
      <w:r>
        <w:rPr>
          <w:rFonts w:hint="eastAsia" w:hAnsi="宋体" w:cs="宋体"/>
          <w:color w:val="auto"/>
          <w:szCs w:val="32"/>
        </w:rPr>
        <w:t>第五章 投标文件格式</w:t>
      </w:r>
      <w:r>
        <w:rPr>
          <w:color w:val="auto"/>
        </w:rPr>
        <w:tab/>
      </w:r>
      <w:r>
        <w:rPr>
          <w:color w:val="auto"/>
        </w:rPr>
        <w:fldChar w:fldCharType="begin"/>
      </w:r>
      <w:r>
        <w:rPr>
          <w:color w:val="auto"/>
        </w:rPr>
        <w:instrText xml:space="preserve"> PAGEREF _Toc3655 </w:instrText>
      </w:r>
      <w:r>
        <w:rPr>
          <w:color w:val="auto"/>
        </w:rPr>
        <w:fldChar w:fldCharType="separate"/>
      </w:r>
      <w:r>
        <w:rPr>
          <w:color w:val="auto"/>
        </w:rPr>
        <w:t>16</w:t>
      </w:r>
      <w:r>
        <w:rPr>
          <w:color w:val="auto"/>
        </w:rPr>
        <w:fldChar w:fldCharType="end"/>
      </w:r>
      <w:r>
        <w:rPr>
          <w:rFonts w:hint="eastAsia" w:ascii="宋体" w:hAnsi="宋体"/>
          <w:color w:val="auto"/>
          <w:szCs w:val="28"/>
        </w:rPr>
        <w:fldChar w:fldCharType="end"/>
      </w:r>
    </w:p>
    <w:p>
      <w:pPr>
        <w:pStyle w:val="15"/>
        <w:tabs>
          <w:tab w:val="right" w:leader="dot" w:pos="8306"/>
        </w:tabs>
        <w:jc w:val="center"/>
        <w:rPr>
          <w:rStyle w:val="26"/>
          <w:rFonts w:ascii="宋体" w:hAnsi="宋体" w:cs="宋体"/>
          <w:color w:val="auto"/>
          <w:sz w:val="32"/>
          <w:szCs w:val="32"/>
        </w:rPr>
        <w:sectPr>
          <w:footerReference r:id="rId6" w:type="default"/>
          <w:pgSz w:w="11906" w:h="16838"/>
          <w:pgMar w:top="1440" w:right="1417" w:bottom="1440" w:left="1701" w:header="468" w:footer="436" w:gutter="0"/>
          <w:pgNumType w:start="1"/>
          <w:cols w:space="720" w:num="1"/>
          <w:rtlGutter w:val="0"/>
          <w:docGrid w:type="lines" w:linePitch="312" w:charSpace="0"/>
        </w:sectPr>
      </w:pPr>
      <w:r>
        <w:rPr>
          <w:rFonts w:hint="eastAsia" w:ascii="宋体" w:hAnsi="宋体"/>
          <w:color w:val="auto"/>
          <w:szCs w:val="28"/>
        </w:rPr>
        <w:fldChar w:fldCharType="end"/>
      </w:r>
      <w:bookmarkStart w:id="1" w:name="_Toc29524"/>
    </w:p>
    <w:p>
      <w:pPr>
        <w:pStyle w:val="4"/>
        <w:jc w:val="center"/>
        <w:rPr>
          <w:rFonts w:hint="eastAsia" w:asciiTheme="minorEastAsia" w:hAnsiTheme="minorEastAsia" w:eastAsiaTheme="minorEastAsia" w:cstheme="minorEastAsia"/>
          <w:color w:val="auto"/>
        </w:rPr>
      </w:pPr>
      <w:bookmarkStart w:id="2" w:name="_Toc22040"/>
      <w:r>
        <w:rPr>
          <w:rFonts w:hint="eastAsia" w:asciiTheme="minorEastAsia" w:hAnsiTheme="minorEastAsia" w:eastAsiaTheme="minorEastAsia" w:cstheme="minorEastAsia"/>
          <w:color w:val="auto"/>
          <w:sz w:val="32"/>
          <w:szCs w:val="32"/>
        </w:rPr>
        <w:t>第一章 招标公告</w:t>
      </w:r>
      <w:bookmarkEnd w:id="0"/>
      <w:bookmarkEnd w:id="1"/>
      <w:bookmarkEnd w:id="2"/>
    </w:p>
    <w:p>
      <w:pPr>
        <w:keepNext w:val="0"/>
        <w:keepLines w:val="0"/>
        <w:pageBreakBefore w:val="0"/>
        <w:kinsoku/>
        <w:wordWrap/>
        <w:overflowPunct/>
        <w:autoSpaceDE/>
        <w:autoSpaceDN/>
        <w:bidi w:val="0"/>
        <w:adjustRightInd/>
        <w:snapToGrid/>
        <w:spacing w:line="360" w:lineRule="auto"/>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招标编号：</w:t>
      </w:r>
      <w:r>
        <w:rPr>
          <w:rFonts w:hint="eastAsia" w:asciiTheme="minorEastAsia" w:hAnsiTheme="minorEastAsia" w:eastAsiaTheme="minorEastAsia" w:cstheme="minorEastAsia"/>
          <w:color w:val="auto"/>
          <w:sz w:val="24"/>
          <w:szCs w:val="24"/>
          <w:lang w:eastAsia="zh-CN"/>
        </w:rPr>
        <w:t>XNTG21053</w:t>
      </w:r>
      <w:r>
        <w:rPr>
          <w:rFonts w:hint="eastAsia" w:asciiTheme="minorEastAsia" w:hAnsiTheme="minorEastAsia" w:eastAsiaTheme="minorEastAsia" w:cstheme="minorEastAsia"/>
          <w:color w:val="auto"/>
          <w:sz w:val="24"/>
          <w:szCs w:val="24"/>
        </w:rPr>
        <w:t xml:space="preserve">  </w:t>
      </w:r>
    </w:p>
    <w:p>
      <w:pPr>
        <w:keepNext w:val="0"/>
        <w:keepLines w:val="0"/>
        <w:pageBreakBefore w:val="0"/>
        <w:kinsoku/>
        <w:wordWrap/>
        <w:overflowPunct/>
        <w:autoSpaceDE/>
        <w:autoSpaceDN/>
        <w:bidi w:val="0"/>
        <w:adjustRightInd/>
        <w:snapToGrid/>
        <w:spacing w:line="360" w:lineRule="auto"/>
        <w:ind w:firstLine="240" w:firstLineChars="1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青海宝矿工程咨询有限公司受</w:t>
      </w:r>
      <w:r>
        <w:rPr>
          <w:rFonts w:hint="eastAsia" w:asciiTheme="minorEastAsia" w:hAnsiTheme="minorEastAsia" w:eastAsiaTheme="minorEastAsia" w:cstheme="minorEastAsia"/>
          <w:color w:val="auto"/>
          <w:sz w:val="24"/>
          <w:szCs w:val="24"/>
          <w:lang w:eastAsia="zh-CN"/>
        </w:rPr>
        <w:t>青海西钢再生资源综合利用开发有限公司</w:t>
      </w:r>
      <w:r>
        <w:rPr>
          <w:rFonts w:hint="eastAsia" w:asciiTheme="minorEastAsia" w:hAnsiTheme="minorEastAsia" w:eastAsiaTheme="minorEastAsia" w:cstheme="minorEastAsia"/>
          <w:color w:val="auto"/>
          <w:sz w:val="24"/>
          <w:szCs w:val="24"/>
        </w:rPr>
        <w:t>委托，就</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b/>
          <w:bCs/>
          <w:color w:val="auto"/>
          <w:sz w:val="24"/>
          <w:szCs w:val="24"/>
          <w:lang w:eastAsia="zh-CN"/>
        </w:rPr>
        <w:t>青海西钢再生资源综合利用开发有限公司2021年7月废旧物资销售项目</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color w:val="auto"/>
          <w:sz w:val="24"/>
          <w:szCs w:val="24"/>
        </w:rPr>
        <w:t>所售的下列物资进行国内公开招标。</w:t>
      </w:r>
    </w:p>
    <w:p>
      <w:pPr>
        <w:ind w:righ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auto"/>
          <w:sz w:val="24"/>
          <w:szCs w:val="24"/>
          <w:lang w:val="en-US" w:eastAsia="zh-CN"/>
        </w:rPr>
        <w:t>一、</w:t>
      </w:r>
      <w:r>
        <w:rPr>
          <w:rFonts w:hint="eastAsia" w:asciiTheme="minorEastAsia" w:hAnsiTheme="minorEastAsia" w:eastAsiaTheme="minorEastAsia" w:cstheme="minorEastAsia"/>
          <w:b/>
          <w:bCs/>
          <w:color w:val="auto"/>
          <w:sz w:val="24"/>
          <w:szCs w:val="24"/>
        </w:rPr>
        <w:t>招标销售物资名称及数量:</w:t>
      </w:r>
    </w:p>
    <w:tbl>
      <w:tblPr>
        <w:tblStyle w:val="23"/>
        <w:tblW w:w="0" w:type="auto"/>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177"/>
        <w:gridCol w:w="914"/>
        <w:gridCol w:w="1241"/>
        <w:gridCol w:w="1135"/>
        <w:gridCol w:w="1271"/>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209" w:type="dxa"/>
            <w:noWrap w:val="0"/>
            <w:vAlign w:val="center"/>
          </w:tcPr>
          <w:p>
            <w:pPr>
              <w:spacing w:line="240" w:lineRule="auto"/>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项目标段号</w:t>
            </w:r>
          </w:p>
        </w:tc>
        <w:tc>
          <w:tcPr>
            <w:tcW w:w="1177" w:type="dxa"/>
            <w:noWrap w:val="0"/>
            <w:vAlign w:val="center"/>
          </w:tcPr>
          <w:p>
            <w:pPr>
              <w:spacing w:line="240" w:lineRule="auto"/>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物资品类</w:t>
            </w:r>
          </w:p>
        </w:tc>
        <w:tc>
          <w:tcPr>
            <w:tcW w:w="914" w:type="dxa"/>
            <w:noWrap w:val="0"/>
            <w:vAlign w:val="center"/>
          </w:tcPr>
          <w:p>
            <w:pPr>
              <w:spacing w:line="240" w:lineRule="auto"/>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数量（吨）</w:t>
            </w:r>
          </w:p>
        </w:tc>
        <w:tc>
          <w:tcPr>
            <w:tcW w:w="1241" w:type="dxa"/>
            <w:noWrap w:val="0"/>
            <w:vAlign w:val="center"/>
          </w:tcPr>
          <w:p>
            <w:pPr>
              <w:spacing w:line="240" w:lineRule="auto"/>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控制单价</w:t>
            </w:r>
          </w:p>
          <w:p>
            <w:pPr>
              <w:spacing w:line="240" w:lineRule="auto"/>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（元/吨）</w:t>
            </w:r>
          </w:p>
        </w:tc>
        <w:tc>
          <w:tcPr>
            <w:tcW w:w="1135" w:type="dxa"/>
            <w:noWrap w:val="0"/>
            <w:vAlign w:val="center"/>
          </w:tcPr>
          <w:p>
            <w:pPr>
              <w:spacing w:line="240" w:lineRule="auto"/>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总价（元）</w:t>
            </w:r>
          </w:p>
        </w:tc>
        <w:tc>
          <w:tcPr>
            <w:tcW w:w="1271" w:type="dxa"/>
            <w:noWrap w:val="0"/>
            <w:vAlign w:val="center"/>
          </w:tcPr>
          <w:p>
            <w:pPr>
              <w:spacing w:line="240" w:lineRule="auto"/>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购买招标文件费用（元）</w:t>
            </w:r>
          </w:p>
        </w:tc>
        <w:tc>
          <w:tcPr>
            <w:tcW w:w="2285" w:type="dxa"/>
            <w:noWrap w:val="0"/>
            <w:vAlign w:val="center"/>
          </w:tcPr>
          <w:p>
            <w:pPr>
              <w:spacing w:line="240" w:lineRule="auto"/>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trPr>
        <w:tc>
          <w:tcPr>
            <w:tcW w:w="1209" w:type="dxa"/>
            <w:noWrap w:val="0"/>
            <w:vAlign w:val="center"/>
          </w:tcPr>
          <w:p>
            <w:pPr>
              <w:spacing w:line="240" w:lineRule="auto"/>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标段一</w:t>
            </w:r>
          </w:p>
        </w:tc>
        <w:tc>
          <w:tcPr>
            <w:tcW w:w="1177"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sz w:val="24"/>
                <w:szCs w:val="24"/>
                <w:lang w:eastAsia="zh-CN"/>
              </w:rPr>
              <w:t>氧化铁皮</w:t>
            </w:r>
          </w:p>
        </w:tc>
        <w:tc>
          <w:tcPr>
            <w:tcW w:w="914"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kern w:val="2"/>
                <w:sz w:val="24"/>
                <w:szCs w:val="24"/>
                <w:lang w:val="en-US" w:eastAsia="zh-CN" w:bidi="ar-SA"/>
              </w:rPr>
              <w:t>210</w:t>
            </w:r>
          </w:p>
        </w:tc>
        <w:tc>
          <w:tcPr>
            <w:tcW w:w="1241"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kern w:val="2"/>
                <w:sz w:val="24"/>
                <w:szCs w:val="24"/>
                <w:lang w:val="en-US" w:eastAsia="zh-CN" w:bidi="ar-SA"/>
              </w:rPr>
              <w:t>1410</w:t>
            </w:r>
          </w:p>
        </w:tc>
        <w:tc>
          <w:tcPr>
            <w:tcW w:w="1135" w:type="dxa"/>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296100</w:t>
            </w:r>
          </w:p>
        </w:tc>
        <w:tc>
          <w:tcPr>
            <w:tcW w:w="1271" w:type="dxa"/>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300</w:t>
            </w:r>
          </w:p>
        </w:tc>
        <w:tc>
          <w:tcPr>
            <w:tcW w:w="2285" w:type="dxa"/>
            <w:vMerge w:val="restart"/>
            <w:noWrap w:val="0"/>
            <w:vAlign w:val="center"/>
          </w:tcPr>
          <w:p>
            <w:pPr>
              <w:spacing w:line="240" w:lineRule="auto"/>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销售物资数量均为预计量，最终结算量以现场实际过磅数量为准；</w:t>
            </w:r>
            <w:r>
              <w:rPr>
                <w:rFonts w:hint="eastAsia" w:asciiTheme="minorEastAsia" w:hAnsiTheme="minorEastAsia" w:eastAsiaTheme="minorEastAsia" w:cstheme="minorEastAsia"/>
                <w:b w:val="0"/>
                <w:bCs w:val="0"/>
                <w:color w:val="auto"/>
                <w:kern w:val="0"/>
                <w:sz w:val="24"/>
                <w:szCs w:val="24"/>
                <w:highlight w:val="none"/>
                <w:lang w:val="en-US" w:eastAsia="zh-CN"/>
              </w:rPr>
              <w:t>各标段物资投</w:t>
            </w:r>
            <w:r>
              <w:rPr>
                <w:rFonts w:hint="eastAsia" w:asciiTheme="minorEastAsia" w:hAnsiTheme="minorEastAsia" w:eastAsiaTheme="minorEastAsia" w:cstheme="minorEastAsia"/>
                <w:b w:val="0"/>
                <w:bCs w:val="0"/>
                <w:color w:val="auto"/>
                <w:kern w:val="0"/>
                <w:sz w:val="24"/>
                <w:szCs w:val="24"/>
                <w:lang w:val="en-US" w:eastAsia="zh-CN"/>
              </w:rPr>
              <w:t>标单价报价不得低于控制单价，否则将被否决投标。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1209" w:type="dxa"/>
            <w:noWrap w:val="0"/>
            <w:vAlign w:val="center"/>
          </w:tcPr>
          <w:p>
            <w:pPr>
              <w:spacing w:line="240" w:lineRule="auto"/>
              <w:jc w:val="center"/>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sz w:val="24"/>
                <w:szCs w:val="24"/>
                <w:lang w:val="en-US" w:eastAsia="zh-CN"/>
              </w:rPr>
              <w:t>标段二</w:t>
            </w:r>
          </w:p>
        </w:tc>
        <w:tc>
          <w:tcPr>
            <w:tcW w:w="1177"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sz w:val="24"/>
                <w:szCs w:val="24"/>
                <w:lang w:eastAsia="zh-CN"/>
              </w:rPr>
              <w:t>砂轮沫</w:t>
            </w:r>
          </w:p>
        </w:tc>
        <w:tc>
          <w:tcPr>
            <w:tcW w:w="914"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kern w:val="2"/>
                <w:sz w:val="24"/>
                <w:szCs w:val="24"/>
                <w:lang w:val="en-US" w:eastAsia="zh-CN" w:bidi="ar-SA"/>
              </w:rPr>
              <w:t>1500</w:t>
            </w:r>
          </w:p>
        </w:tc>
        <w:tc>
          <w:tcPr>
            <w:tcW w:w="1241"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kern w:val="2"/>
                <w:sz w:val="24"/>
                <w:szCs w:val="24"/>
                <w:lang w:val="en-US" w:eastAsia="zh-CN" w:bidi="ar-SA"/>
              </w:rPr>
              <w:t>1330</w:t>
            </w:r>
          </w:p>
        </w:tc>
        <w:tc>
          <w:tcPr>
            <w:tcW w:w="1135" w:type="dxa"/>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1995000</w:t>
            </w:r>
          </w:p>
        </w:tc>
        <w:tc>
          <w:tcPr>
            <w:tcW w:w="1271" w:type="dxa"/>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600</w:t>
            </w:r>
          </w:p>
        </w:tc>
        <w:tc>
          <w:tcPr>
            <w:tcW w:w="2285" w:type="dxa"/>
            <w:vMerge w:val="continue"/>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209" w:type="dxa"/>
            <w:noWrap w:val="0"/>
            <w:vAlign w:val="center"/>
          </w:tcPr>
          <w:p>
            <w:pPr>
              <w:spacing w:line="240" w:lineRule="auto"/>
              <w:jc w:val="center"/>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sz w:val="24"/>
                <w:szCs w:val="24"/>
                <w:lang w:val="en-US" w:eastAsia="zh-CN"/>
              </w:rPr>
              <w:t>标段三</w:t>
            </w:r>
          </w:p>
        </w:tc>
        <w:tc>
          <w:tcPr>
            <w:tcW w:w="1177"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sz w:val="24"/>
                <w:szCs w:val="24"/>
                <w:lang w:eastAsia="zh-CN"/>
              </w:rPr>
              <w:t>钢铸铁屑</w:t>
            </w:r>
          </w:p>
        </w:tc>
        <w:tc>
          <w:tcPr>
            <w:tcW w:w="914"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kern w:val="2"/>
                <w:sz w:val="24"/>
                <w:szCs w:val="24"/>
                <w:lang w:val="en-US" w:eastAsia="zh-CN" w:bidi="ar-SA"/>
              </w:rPr>
              <w:t>210</w:t>
            </w:r>
          </w:p>
        </w:tc>
        <w:tc>
          <w:tcPr>
            <w:tcW w:w="1241"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kern w:val="2"/>
                <w:sz w:val="24"/>
                <w:szCs w:val="24"/>
                <w:lang w:val="en-US" w:eastAsia="zh-CN" w:bidi="ar-SA"/>
              </w:rPr>
              <w:t>2000</w:t>
            </w:r>
          </w:p>
        </w:tc>
        <w:tc>
          <w:tcPr>
            <w:tcW w:w="1135" w:type="dxa"/>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420000</w:t>
            </w:r>
          </w:p>
        </w:tc>
        <w:tc>
          <w:tcPr>
            <w:tcW w:w="1271" w:type="dxa"/>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400</w:t>
            </w:r>
          </w:p>
        </w:tc>
        <w:tc>
          <w:tcPr>
            <w:tcW w:w="2285" w:type="dxa"/>
            <w:vMerge w:val="continue"/>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209" w:type="dxa"/>
            <w:noWrap w:val="0"/>
            <w:vAlign w:val="center"/>
          </w:tcPr>
          <w:p>
            <w:pPr>
              <w:spacing w:line="240" w:lineRule="auto"/>
              <w:jc w:val="center"/>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sz w:val="24"/>
                <w:szCs w:val="24"/>
                <w:lang w:val="en-US" w:eastAsia="zh-CN"/>
              </w:rPr>
              <w:t>标段四</w:t>
            </w:r>
          </w:p>
        </w:tc>
        <w:tc>
          <w:tcPr>
            <w:tcW w:w="1177"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sz w:val="24"/>
                <w:szCs w:val="24"/>
                <w:lang w:eastAsia="zh-CN"/>
              </w:rPr>
              <w:t>扒皮沫</w:t>
            </w:r>
          </w:p>
        </w:tc>
        <w:tc>
          <w:tcPr>
            <w:tcW w:w="914"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kern w:val="2"/>
                <w:sz w:val="24"/>
                <w:szCs w:val="24"/>
                <w:lang w:val="en-US" w:eastAsia="zh-CN" w:bidi="ar-SA"/>
              </w:rPr>
              <w:t>300</w:t>
            </w:r>
          </w:p>
        </w:tc>
        <w:tc>
          <w:tcPr>
            <w:tcW w:w="1241"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kern w:val="2"/>
                <w:sz w:val="24"/>
                <w:szCs w:val="24"/>
                <w:lang w:val="en-US" w:eastAsia="zh-CN" w:bidi="ar-SA"/>
              </w:rPr>
              <w:t>1330</w:t>
            </w:r>
          </w:p>
        </w:tc>
        <w:tc>
          <w:tcPr>
            <w:tcW w:w="1135" w:type="dxa"/>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399000</w:t>
            </w:r>
          </w:p>
        </w:tc>
        <w:tc>
          <w:tcPr>
            <w:tcW w:w="1271" w:type="dxa"/>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400</w:t>
            </w:r>
          </w:p>
        </w:tc>
        <w:tc>
          <w:tcPr>
            <w:tcW w:w="2285" w:type="dxa"/>
            <w:vMerge w:val="continue"/>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209" w:type="dxa"/>
            <w:noWrap w:val="0"/>
            <w:vAlign w:val="center"/>
          </w:tcPr>
          <w:p>
            <w:pPr>
              <w:spacing w:line="240" w:lineRule="auto"/>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标段五</w:t>
            </w:r>
          </w:p>
        </w:tc>
        <w:tc>
          <w:tcPr>
            <w:tcW w:w="1177"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sz w:val="24"/>
                <w:szCs w:val="24"/>
                <w:lang w:eastAsia="zh-CN"/>
              </w:rPr>
              <w:t>废石墨电极</w:t>
            </w:r>
          </w:p>
        </w:tc>
        <w:tc>
          <w:tcPr>
            <w:tcW w:w="914"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kern w:val="2"/>
                <w:sz w:val="24"/>
                <w:szCs w:val="24"/>
                <w:lang w:val="en-US" w:eastAsia="zh-CN" w:bidi="ar-SA"/>
              </w:rPr>
              <w:t>30</w:t>
            </w:r>
          </w:p>
        </w:tc>
        <w:tc>
          <w:tcPr>
            <w:tcW w:w="1241"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kern w:val="2"/>
                <w:sz w:val="24"/>
                <w:szCs w:val="24"/>
                <w:lang w:val="en-US" w:eastAsia="zh-CN" w:bidi="ar-SA"/>
              </w:rPr>
              <w:t>4800</w:t>
            </w:r>
          </w:p>
        </w:tc>
        <w:tc>
          <w:tcPr>
            <w:tcW w:w="1135" w:type="dxa"/>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144000</w:t>
            </w:r>
          </w:p>
        </w:tc>
        <w:tc>
          <w:tcPr>
            <w:tcW w:w="1271" w:type="dxa"/>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200</w:t>
            </w:r>
          </w:p>
        </w:tc>
        <w:tc>
          <w:tcPr>
            <w:tcW w:w="2285" w:type="dxa"/>
            <w:vMerge w:val="continue"/>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209" w:type="dxa"/>
            <w:noWrap w:val="0"/>
            <w:vAlign w:val="center"/>
          </w:tcPr>
          <w:p>
            <w:pPr>
              <w:spacing w:line="240" w:lineRule="auto"/>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标段六</w:t>
            </w:r>
          </w:p>
        </w:tc>
        <w:tc>
          <w:tcPr>
            <w:tcW w:w="1177"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sz w:val="24"/>
                <w:szCs w:val="24"/>
                <w:lang w:eastAsia="zh-CN"/>
              </w:rPr>
              <w:t>废铅</w:t>
            </w:r>
          </w:p>
        </w:tc>
        <w:tc>
          <w:tcPr>
            <w:tcW w:w="914"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kern w:val="2"/>
                <w:sz w:val="24"/>
                <w:szCs w:val="24"/>
                <w:lang w:val="en-US" w:eastAsia="zh-CN" w:bidi="ar-SA"/>
              </w:rPr>
              <w:t>1</w:t>
            </w:r>
          </w:p>
        </w:tc>
        <w:tc>
          <w:tcPr>
            <w:tcW w:w="1241"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kern w:val="2"/>
                <w:sz w:val="24"/>
                <w:szCs w:val="24"/>
                <w:lang w:val="en-US" w:eastAsia="zh-CN" w:bidi="ar-SA"/>
              </w:rPr>
              <w:t>11400</w:t>
            </w:r>
          </w:p>
        </w:tc>
        <w:tc>
          <w:tcPr>
            <w:tcW w:w="1135" w:type="dxa"/>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11400</w:t>
            </w:r>
          </w:p>
        </w:tc>
        <w:tc>
          <w:tcPr>
            <w:tcW w:w="1271" w:type="dxa"/>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200</w:t>
            </w:r>
          </w:p>
        </w:tc>
        <w:tc>
          <w:tcPr>
            <w:tcW w:w="2285" w:type="dxa"/>
            <w:vMerge w:val="continue"/>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p>
        </w:tc>
      </w:tr>
    </w:tbl>
    <w:p>
      <w:pPr>
        <w:keepNext w:val="0"/>
        <w:keepLines w:val="0"/>
        <w:pageBreakBefore w:val="0"/>
        <w:widowControl/>
        <w:suppressLineNumbers w:val="0"/>
        <w:tabs>
          <w:tab w:val="left" w:pos="220"/>
          <w:tab w:val="center" w:pos="4741"/>
        </w:tabs>
        <w:kinsoku/>
        <w:wordWrap/>
        <w:overflowPunct/>
        <w:autoSpaceDE/>
        <w:autoSpaceDN/>
        <w:bidi w:val="0"/>
        <w:adjustRightInd/>
        <w:snapToGrid/>
        <w:spacing w:line="360" w:lineRule="auto"/>
        <w:jc w:val="left"/>
        <w:textAlignment w:val="center"/>
        <w:rPr>
          <w:rFonts w:hint="eastAsia" w:asciiTheme="minorEastAsia" w:hAnsiTheme="minorEastAsia" w:eastAsiaTheme="minorEastAsia" w:cstheme="minorEastAsia"/>
          <w:b/>
          <w:bCs/>
          <w:i w:val="0"/>
          <w:color w:val="auto"/>
          <w:kern w:val="0"/>
          <w:sz w:val="24"/>
          <w:szCs w:val="24"/>
          <w:u w:val="none"/>
          <w:lang w:val="en-US" w:eastAsia="zh-CN" w:bidi="ar"/>
        </w:rPr>
      </w:pPr>
      <w:r>
        <w:rPr>
          <w:rFonts w:hint="eastAsia" w:asciiTheme="minorEastAsia" w:hAnsiTheme="minorEastAsia" w:eastAsiaTheme="minorEastAsia" w:cstheme="minorEastAsia"/>
          <w:b/>
          <w:bCs/>
          <w:i w:val="0"/>
          <w:color w:val="auto"/>
          <w:kern w:val="0"/>
          <w:sz w:val="24"/>
          <w:szCs w:val="24"/>
          <w:u w:val="none"/>
          <w:lang w:val="en-US" w:eastAsia="zh-CN" w:bidi="ar"/>
        </w:rPr>
        <w:t>注：1、各投标人可就上述标段中的一个或多个标段投标，并允许同时中标多个标段。</w:t>
      </w:r>
    </w:p>
    <w:p>
      <w:pPr>
        <w:keepNext w:val="0"/>
        <w:keepLines w:val="0"/>
        <w:pageBreakBefore w:val="0"/>
        <w:numPr>
          <w:ilvl w:val="0"/>
          <w:numId w:val="0"/>
        </w:numPr>
        <w:kinsoku/>
        <w:wordWrap/>
        <w:overflowPunct/>
        <w:autoSpaceDE/>
        <w:autoSpaceDN/>
        <w:bidi w:val="0"/>
        <w:adjustRightInd/>
        <w:snapToGrid/>
        <w:spacing w:line="360" w:lineRule="auto"/>
        <w:ind w:firstLine="482" w:firstLineChars="200"/>
        <w:contextualSpacing/>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b/>
          <w:bCs/>
          <w:i w:val="0"/>
          <w:color w:val="auto"/>
          <w:kern w:val="0"/>
          <w:sz w:val="24"/>
          <w:szCs w:val="24"/>
          <w:u w:val="none"/>
          <w:lang w:val="en-US" w:eastAsia="zh-CN" w:bidi="ar"/>
        </w:rPr>
        <w:t>2、每一标段各投标人仅有一次报价机会，最高价中标（即投标文件中的报价为最终报价，若最高报价有相同的，则仅允许最高报价相同的投标人再次报价，直至确定最高报价投标人即可）。</w:t>
      </w:r>
    </w:p>
    <w:p>
      <w:pPr>
        <w:keepNext w:val="0"/>
        <w:keepLines w:val="0"/>
        <w:pageBreakBefore w:val="0"/>
        <w:numPr>
          <w:ilvl w:val="0"/>
          <w:numId w:val="0"/>
        </w:numPr>
        <w:kinsoku/>
        <w:wordWrap/>
        <w:overflowPunct/>
        <w:autoSpaceDE/>
        <w:autoSpaceDN/>
        <w:bidi w:val="0"/>
        <w:adjustRightInd/>
        <w:snapToGrid/>
        <w:spacing w:line="360" w:lineRule="auto"/>
        <w:contextualSpacing/>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二、物资地点：</w:t>
      </w:r>
    </w:p>
    <w:p>
      <w:pPr>
        <w:keepNext w:val="0"/>
        <w:keepLines w:val="0"/>
        <w:pageBreakBefore w:val="0"/>
        <w:kinsoku/>
        <w:wordWrap/>
        <w:overflowPunct/>
        <w:autoSpaceDE/>
        <w:autoSpaceDN/>
        <w:bidi w:val="0"/>
        <w:adjustRightInd/>
        <w:snapToGrid/>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青海西钢再生资源综合利用开发有限公司</w:t>
      </w:r>
      <w:r>
        <w:rPr>
          <w:rFonts w:hint="eastAsia" w:asciiTheme="minorEastAsia" w:hAnsiTheme="minorEastAsia" w:eastAsiaTheme="minorEastAsia" w:cstheme="minorEastAsia"/>
          <w:color w:val="auto"/>
          <w:sz w:val="24"/>
          <w:szCs w:val="24"/>
        </w:rPr>
        <w:t>厂区内</w:t>
      </w:r>
      <w:r>
        <w:rPr>
          <w:rFonts w:hint="eastAsia" w:asciiTheme="minorEastAsia" w:hAnsiTheme="minorEastAsia" w:eastAsiaTheme="minorEastAsia" w:cstheme="minorEastAsia"/>
          <w:color w:val="auto"/>
          <w:sz w:val="24"/>
          <w:szCs w:val="24"/>
          <w:lang w:eastAsia="zh-CN"/>
        </w:rPr>
        <w:t>。</w:t>
      </w:r>
    </w:p>
    <w:p>
      <w:pPr>
        <w:keepNext w:val="0"/>
        <w:keepLines w:val="0"/>
        <w:pageBreakBefore w:val="0"/>
        <w:kinsoku/>
        <w:wordWrap/>
        <w:overflowPunct/>
        <w:autoSpaceDE/>
        <w:autoSpaceDN/>
        <w:bidi w:val="0"/>
        <w:adjustRightInd/>
        <w:snapToGrid/>
        <w:spacing w:line="360" w:lineRule="auto"/>
        <w:contextualSpacing/>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三、购买招标文件时间：</w:t>
      </w:r>
    </w:p>
    <w:p>
      <w:pPr>
        <w:keepNext w:val="0"/>
        <w:keepLines w:val="0"/>
        <w:pageBreakBefore w:val="0"/>
        <w:kinsoku/>
        <w:wordWrap/>
        <w:overflowPunct/>
        <w:autoSpaceDE/>
        <w:autoSpaceDN/>
        <w:bidi w:val="0"/>
        <w:adjustRightInd/>
        <w:snapToGrid/>
        <w:spacing w:line="360" w:lineRule="auto"/>
        <w:ind w:firstLine="482"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202</w:t>
      </w:r>
      <w:r>
        <w:rPr>
          <w:rFonts w:hint="eastAsia" w:asciiTheme="minorEastAsia" w:hAnsiTheme="minorEastAsia" w:eastAsiaTheme="minorEastAsia" w:cstheme="minorEastAsia"/>
          <w:b/>
          <w:bCs/>
          <w:color w:val="auto"/>
          <w:sz w:val="24"/>
          <w:szCs w:val="24"/>
          <w:lang w:val="en-US" w:eastAsia="zh-CN"/>
        </w:rPr>
        <w:t>1</w:t>
      </w:r>
      <w:r>
        <w:rPr>
          <w:rFonts w:hint="eastAsia" w:asciiTheme="minorEastAsia" w:hAnsiTheme="minorEastAsia" w:eastAsiaTheme="minorEastAsia" w:cstheme="minorEastAsia"/>
          <w:b/>
          <w:bCs/>
          <w:color w:val="auto"/>
          <w:sz w:val="24"/>
          <w:szCs w:val="24"/>
        </w:rPr>
        <w:t>年</w:t>
      </w:r>
      <w:r>
        <w:rPr>
          <w:rFonts w:hint="eastAsia" w:asciiTheme="minorEastAsia" w:hAnsiTheme="minorEastAsia" w:eastAsiaTheme="minorEastAsia" w:cstheme="minorEastAsia"/>
          <w:b/>
          <w:bCs/>
          <w:color w:val="auto"/>
          <w:sz w:val="24"/>
          <w:szCs w:val="24"/>
          <w:lang w:val="en-US" w:eastAsia="zh-CN"/>
        </w:rPr>
        <w:t>6</w:t>
      </w:r>
      <w:r>
        <w:rPr>
          <w:rFonts w:hint="eastAsia" w:asciiTheme="minorEastAsia" w:hAnsiTheme="minorEastAsia" w:eastAsiaTheme="minorEastAsia" w:cstheme="minorEastAsia"/>
          <w:b/>
          <w:bCs/>
          <w:color w:val="auto"/>
          <w:sz w:val="24"/>
          <w:szCs w:val="24"/>
        </w:rPr>
        <w:t>月</w:t>
      </w:r>
      <w:r>
        <w:rPr>
          <w:rFonts w:hint="eastAsia" w:asciiTheme="minorEastAsia" w:hAnsiTheme="minorEastAsia" w:eastAsiaTheme="minorEastAsia" w:cstheme="minorEastAsia"/>
          <w:b/>
          <w:bCs/>
          <w:color w:val="auto"/>
          <w:sz w:val="24"/>
          <w:szCs w:val="24"/>
          <w:lang w:val="en-US" w:eastAsia="zh-CN"/>
        </w:rPr>
        <w:t>22</w:t>
      </w:r>
      <w:r>
        <w:rPr>
          <w:rFonts w:hint="eastAsia" w:asciiTheme="minorEastAsia" w:hAnsiTheme="minorEastAsia" w:eastAsiaTheme="minorEastAsia" w:cstheme="minorEastAsia"/>
          <w:b/>
          <w:bCs/>
          <w:color w:val="auto"/>
          <w:sz w:val="24"/>
          <w:szCs w:val="24"/>
        </w:rPr>
        <w:t>日</w:t>
      </w:r>
      <w:r>
        <w:rPr>
          <w:rFonts w:hint="eastAsia" w:asciiTheme="minorEastAsia" w:hAnsiTheme="minorEastAsia" w:eastAsiaTheme="minorEastAsia" w:cstheme="minorEastAsia"/>
          <w:b/>
          <w:bCs/>
          <w:color w:val="auto"/>
          <w:sz w:val="24"/>
          <w:szCs w:val="24"/>
          <w:lang w:val="en-US" w:eastAsia="zh-CN"/>
        </w:rPr>
        <w:t>8</w:t>
      </w:r>
      <w:r>
        <w:rPr>
          <w:rFonts w:hint="eastAsia" w:asciiTheme="minorEastAsia" w:hAnsiTheme="minorEastAsia" w:eastAsiaTheme="minorEastAsia" w:cstheme="minorEastAsia"/>
          <w:b/>
          <w:bCs/>
          <w:color w:val="auto"/>
          <w:sz w:val="24"/>
          <w:szCs w:val="24"/>
        </w:rPr>
        <w:t>时</w:t>
      </w:r>
      <w:r>
        <w:rPr>
          <w:rFonts w:hint="eastAsia" w:asciiTheme="minorEastAsia" w:hAnsiTheme="minorEastAsia" w:eastAsiaTheme="minorEastAsia" w:cstheme="minorEastAsia"/>
          <w:b/>
          <w:bCs/>
          <w:color w:val="auto"/>
          <w:sz w:val="24"/>
          <w:szCs w:val="24"/>
          <w:lang w:val="en-US" w:eastAsia="zh-CN"/>
        </w:rPr>
        <w:t>3</w:t>
      </w:r>
      <w:r>
        <w:rPr>
          <w:rFonts w:hint="eastAsia" w:asciiTheme="minorEastAsia" w:hAnsiTheme="minorEastAsia" w:eastAsiaTheme="minorEastAsia" w:cstheme="minorEastAsia"/>
          <w:b/>
          <w:bCs/>
          <w:color w:val="auto"/>
          <w:sz w:val="24"/>
          <w:szCs w:val="24"/>
        </w:rPr>
        <w:t>0分起到202</w:t>
      </w:r>
      <w:r>
        <w:rPr>
          <w:rFonts w:hint="eastAsia" w:asciiTheme="minorEastAsia" w:hAnsiTheme="minorEastAsia" w:eastAsiaTheme="minorEastAsia" w:cstheme="minorEastAsia"/>
          <w:b/>
          <w:bCs/>
          <w:color w:val="auto"/>
          <w:sz w:val="24"/>
          <w:szCs w:val="24"/>
          <w:lang w:val="en-US" w:eastAsia="zh-CN"/>
        </w:rPr>
        <w:t>1</w:t>
      </w:r>
      <w:r>
        <w:rPr>
          <w:rFonts w:hint="eastAsia" w:asciiTheme="minorEastAsia" w:hAnsiTheme="minorEastAsia" w:eastAsiaTheme="minorEastAsia" w:cstheme="minorEastAsia"/>
          <w:b/>
          <w:bCs/>
          <w:color w:val="auto"/>
          <w:sz w:val="24"/>
          <w:szCs w:val="24"/>
        </w:rPr>
        <w:t>年</w:t>
      </w:r>
      <w:r>
        <w:rPr>
          <w:rFonts w:hint="eastAsia" w:asciiTheme="minorEastAsia" w:hAnsiTheme="minorEastAsia" w:eastAsiaTheme="minorEastAsia" w:cstheme="minorEastAsia"/>
          <w:b/>
          <w:bCs/>
          <w:color w:val="auto"/>
          <w:sz w:val="24"/>
          <w:szCs w:val="24"/>
          <w:lang w:val="en-US" w:eastAsia="zh-CN"/>
        </w:rPr>
        <w:t>6</w:t>
      </w:r>
      <w:r>
        <w:rPr>
          <w:rFonts w:hint="eastAsia" w:asciiTheme="minorEastAsia" w:hAnsiTheme="minorEastAsia" w:eastAsiaTheme="minorEastAsia" w:cstheme="minorEastAsia"/>
          <w:b/>
          <w:bCs/>
          <w:color w:val="auto"/>
          <w:sz w:val="24"/>
          <w:szCs w:val="24"/>
        </w:rPr>
        <w:t>月</w:t>
      </w:r>
      <w:r>
        <w:rPr>
          <w:rFonts w:hint="eastAsia" w:asciiTheme="minorEastAsia" w:hAnsiTheme="minorEastAsia" w:eastAsiaTheme="minorEastAsia" w:cstheme="minorEastAsia"/>
          <w:b/>
          <w:bCs/>
          <w:color w:val="auto"/>
          <w:sz w:val="24"/>
          <w:szCs w:val="24"/>
          <w:lang w:val="en-US" w:eastAsia="zh-CN"/>
        </w:rPr>
        <w:t>28</w:t>
      </w:r>
      <w:r>
        <w:rPr>
          <w:rFonts w:hint="eastAsia" w:asciiTheme="minorEastAsia" w:hAnsiTheme="minorEastAsia" w:eastAsiaTheme="minorEastAsia" w:cstheme="minorEastAsia"/>
          <w:b/>
          <w:bCs/>
          <w:color w:val="auto"/>
          <w:sz w:val="24"/>
          <w:szCs w:val="24"/>
        </w:rPr>
        <w:t>日</w:t>
      </w:r>
      <w:r>
        <w:rPr>
          <w:rFonts w:hint="eastAsia" w:asciiTheme="minorEastAsia" w:hAnsiTheme="minorEastAsia" w:eastAsiaTheme="minorEastAsia" w:cstheme="minorEastAsia"/>
          <w:b/>
          <w:bCs/>
          <w:color w:val="auto"/>
          <w:sz w:val="24"/>
          <w:szCs w:val="24"/>
          <w:lang w:val="en-US" w:eastAsia="zh-CN"/>
        </w:rPr>
        <w:t>18</w:t>
      </w:r>
      <w:r>
        <w:rPr>
          <w:rFonts w:hint="eastAsia" w:asciiTheme="minorEastAsia" w:hAnsiTheme="minorEastAsia" w:eastAsiaTheme="minorEastAsia" w:cstheme="minorEastAsia"/>
          <w:b/>
          <w:bCs/>
          <w:color w:val="auto"/>
          <w:sz w:val="24"/>
          <w:szCs w:val="24"/>
        </w:rPr>
        <w:t>时止。</w:t>
      </w:r>
      <w:r>
        <w:rPr>
          <w:rFonts w:hint="eastAsia" w:asciiTheme="minorEastAsia" w:hAnsiTheme="minorEastAsia" w:eastAsiaTheme="minorEastAsia" w:cstheme="minorEastAsia"/>
          <w:color w:val="auto"/>
          <w:sz w:val="24"/>
          <w:szCs w:val="24"/>
        </w:rPr>
        <w:t>在西部矿业阳光电商平台（以下简称“阳光电商平台”）（http://ec.westmining.com）注册、购买、下载电子招标文件（不接受其他方式购买）。</w:t>
      </w:r>
    </w:p>
    <w:p>
      <w:pPr>
        <w:keepNext w:val="0"/>
        <w:keepLines w:val="0"/>
        <w:pageBreakBefore w:val="0"/>
        <w:kinsoku/>
        <w:wordWrap/>
        <w:overflowPunct/>
        <w:autoSpaceDE/>
        <w:autoSpaceDN/>
        <w:bidi w:val="0"/>
        <w:adjustRightInd/>
        <w:snapToGrid/>
        <w:spacing w:line="360" w:lineRule="auto"/>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val="en-US" w:eastAsia="zh-CN"/>
        </w:rPr>
        <w:t>四</w:t>
      </w:r>
      <w:r>
        <w:rPr>
          <w:rFonts w:hint="eastAsia" w:asciiTheme="minorEastAsia" w:hAnsiTheme="minorEastAsia" w:eastAsiaTheme="minorEastAsia" w:cstheme="minorEastAsia"/>
          <w:b/>
          <w:bCs/>
          <w:color w:val="auto"/>
          <w:sz w:val="24"/>
          <w:szCs w:val="24"/>
        </w:rPr>
        <w:t>、招标文件售价：</w:t>
      </w:r>
    </w:p>
    <w:p>
      <w:pPr>
        <w:keepNext w:val="0"/>
        <w:keepLines w:val="0"/>
        <w:pageBreakBefore w:val="0"/>
        <w:kinsoku/>
        <w:wordWrap/>
        <w:overflowPunct/>
        <w:autoSpaceDE/>
        <w:autoSpaceDN/>
        <w:bidi w:val="0"/>
        <w:adjustRightInd/>
        <w:snapToGrid/>
        <w:spacing w:line="360" w:lineRule="auto"/>
        <w:ind w:right="42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招标文件一套，售价</w:t>
      </w:r>
      <w:r>
        <w:rPr>
          <w:rFonts w:hint="eastAsia" w:asciiTheme="minorEastAsia" w:hAnsiTheme="minorEastAsia" w:eastAsiaTheme="minorEastAsia" w:cstheme="minorEastAsia"/>
          <w:b/>
          <w:bCs/>
          <w:color w:val="auto"/>
          <w:sz w:val="24"/>
          <w:szCs w:val="24"/>
          <w:lang w:val="en-US" w:eastAsia="zh-CN"/>
        </w:rPr>
        <w:t>请按上述表格中各标段报名费分别缴纳</w:t>
      </w:r>
      <w:r>
        <w:rPr>
          <w:rFonts w:hint="eastAsia" w:asciiTheme="minorEastAsia" w:hAnsiTheme="minorEastAsia" w:eastAsiaTheme="minorEastAsia" w:cstheme="minorEastAsia"/>
          <w:b/>
          <w:bCs/>
          <w:color w:val="auto"/>
          <w:sz w:val="24"/>
          <w:szCs w:val="24"/>
        </w:rPr>
        <w:t>，售后不退</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每一标段分别缴纳</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w:t>
      </w:r>
    </w:p>
    <w:p>
      <w:pPr>
        <w:keepNext w:val="0"/>
        <w:keepLines w:val="0"/>
        <w:pageBreakBefore w:val="0"/>
        <w:kinsoku/>
        <w:wordWrap/>
        <w:overflowPunct/>
        <w:autoSpaceDE/>
        <w:autoSpaceDN/>
        <w:bidi w:val="0"/>
        <w:adjustRightInd/>
        <w:snapToGrid/>
        <w:spacing w:line="360" w:lineRule="auto"/>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val="en-US" w:eastAsia="zh-CN"/>
        </w:rPr>
        <w:t>五</w:t>
      </w:r>
      <w:r>
        <w:rPr>
          <w:rFonts w:hint="eastAsia" w:asciiTheme="minorEastAsia" w:hAnsiTheme="minorEastAsia" w:eastAsiaTheme="minorEastAsia" w:cstheme="minorEastAsia"/>
          <w:b/>
          <w:bCs/>
          <w:color w:val="auto"/>
          <w:sz w:val="24"/>
          <w:szCs w:val="24"/>
        </w:rPr>
        <w:t>、</w:t>
      </w:r>
      <w:r>
        <w:rPr>
          <w:rFonts w:hint="eastAsia" w:ascii="宋体" w:hAnsi="宋体" w:eastAsia="宋体" w:cs="宋体"/>
          <w:b/>
          <w:bCs/>
          <w:color w:val="auto"/>
          <w:kern w:val="0"/>
          <w:sz w:val="24"/>
          <w:szCs w:val="24"/>
        </w:rPr>
        <w:t>投标人资格要求：</w:t>
      </w:r>
    </w:p>
    <w:p>
      <w:pPr>
        <w:keepNext w:val="0"/>
        <w:keepLines w:val="0"/>
        <w:pageBreakBefore w:val="0"/>
        <w:kinsoku/>
        <w:wordWrap/>
        <w:overflowPunct/>
        <w:autoSpaceDE/>
        <w:autoSpaceDN/>
        <w:bidi w:val="0"/>
        <w:adjustRightInd/>
        <w:snapToGrid/>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1、投标人须具有独立法人资格,有效的营业执照，营业执照经营范围内有回收废旧物资</w:t>
      </w:r>
      <w:r>
        <w:rPr>
          <w:rFonts w:hint="eastAsia" w:asciiTheme="minorEastAsia" w:hAnsiTheme="minorEastAsia" w:eastAsiaTheme="minorEastAsia" w:cstheme="minorEastAsia"/>
          <w:color w:val="auto"/>
          <w:sz w:val="24"/>
          <w:szCs w:val="24"/>
          <w:lang w:val="en-US" w:eastAsia="zh-CN"/>
        </w:rPr>
        <w:t>等</w:t>
      </w:r>
      <w:r>
        <w:rPr>
          <w:rFonts w:hint="eastAsia" w:asciiTheme="minorEastAsia" w:hAnsiTheme="minorEastAsia" w:eastAsiaTheme="minorEastAsia" w:cstheme="minorEastAsia"/>
          <w:color w:val="auto"/>
          <w:sz w:val="24"/>
          <w:szCs w:val="24"/>
        </w:rPr>
        <w:t>相关内容。</w:t>
      </w:r>
    </w:p>
    <w:p>
      <w:pPr>
        <w:keepNext w:val="0"/>
        <w:keepLines w:val="0"/>
        <w:pageBreakBefore w:val="0"/>
        <w:kinsoku/>
        <w:wordWrap/>
        <w:overflowPunct/>
        <w:autoSpaceDE/>
        <w:autoSpaceDN/>
        <w:bidi w:val="0"/>
        <w:adjustRightInd/>
        <w:snapToGrid/>
        <w:spacing w:line="360" w:lineRule="auto"/>
        <w:ind w:firstLine="480" w:firstLineChars="200"/>
        <w:contextualSpacing/>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、本次招标不接受联合体投标。</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、投标</w:t>
      </w:r>
      <w:r>
        <w:rPr>
          <w:rFonts w:hint="eastAsia" w:ascii="宋体" w:hAnsi="宋体" w:eastAsia="宋体" w:cs="宋体"/>
          <w:b/>
          <w:bCs/>
          <w:color w:val="auto"/>
          <w:kern w:val="2"/>
          <w:sz w:val="24"/>
          <w:szCs w:val="24"/>
          <w:highlight w:val="none"/>
          <w:lang w:val="en-US" w:eastAsia="zh-CN" w:bidi="ar-SA"/>
        </w:rPr>
        <w:t>报名流程： </w:t>
      </w:r>
    </w:p>
    <w:p>
      <w:pPr>
        <w:keepNext w:val="0"/>
        <w:keepLines w:val="0"/>
        <w:pageBreakBefore w:val="0"/>
        <w:kinsoku/>
        <w:wordWrap/>
        <w:overflowPunct/>
        <w:autoSpaceDE/>
        <w:autoSpaceDN/>
        <w:bidi w:val="0"/>
        <w:adjustRightInd/>
        <w:snapToGrid/>
        <w:spacing w:line="360" w:lineRule="auto"/>
        <w:ind w:firstLine="480" w:firstLineChars="200"/>
        <w:contextualSpacing/>
        <w:rPr>
          <w:rFonts w:hint="eastAsia" w:asciiTheme="minorEastAsia" w:hAnsiTheme="minorEastAsia" w:eastAsiaTheme="minorEastAsia" w:cstheme="minorEastAsia"/>
          <w:b w:val="0"/>
          <w:bCs w:val="0"/>
          <w:color w:val="auto"/>
          <w:sz w:val="24"/>
          <w:szCs w:val="24"/>
          <w:lang w:val="en-US" w:eastAsia="zh-CN"/>
        </w:rPr>
      </w:pPr>
      <w:r>
        <w:rPr>
          <w:rFonts w:hint="eastAsia" w:ascii="宋体" w:hAnsi="宋体" w:eastAsia="宋体" w:cs="宋体"/>
          <w:b w:val="0"/>
          <w:bCs w:val="0"/>
          <w:color w:val="auto"/>
          <w:kern w:val="2"/>
          <w:sz w:val="24"/>
          <w:szCs w:val="24"/>
          <w:highlight w:val="none"/>
          <w:lang w:val="en-US" w:eastAsia="zh-CN" w:bidi="ar-SA"/>
        </w:rPr>
        <w:t>第一步：</w:t>
      </w:r>
      <w:r>
        <w:rPr>
          <w:rFonts w:hint="eastAsia" w:asciiTheme="minorEastAsia" w:hAnsiTheme="minorEastAsia" w:eastAsiaTheme="minorEastAsia" w:cstheme="minorEastAsia"/>
          <w:b w:val="0"/>
          <w:bCs w:val="0"/>
          <w:color w:val="auto"/>
          <w:sz w:val="24"/>
          <w:szCs w:val="24"/>
          <w:lang w:val="en-US" w:eastAsia="zh-CN"/>
        </w:rPr>
        <w:t>投标人注册应提供的资料：企业营业执照（三合一）、开户许可证、开票信息（单位名称、纳税识别号、地址和电话、开户行和账号及该账号的行号）。联系人：姚圆圆，联系电话：0971-5362081。</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第二</w:t>
      </w:r>
      <w:r>
        <w:rPr>
          <w:rFonts w:hint="eastAsia" w:ascii="宋体" w:hAnsi="宋体" w:eastAsia="宋体" w:cs="宋体"/>
          <w:b w:val="0"/>
          <w:bCs w:val="0"/>
          <w:color w:val="auto"/>
          <w:kern w:val="2"/>
          <w:sz w:val="24"/>
          <w:szCs w:val="24"/>
          <w:highlight w:val="none"/>
          <w:lang w:val="en-US" w:eastAsia="zh-CN" w:bidi="ar-SA"/>
        </w:rPr>
        <w:t>步</w:t>
      </w:r>
      <w:r>
        <w:rPr>
          <w:rFonts w:hint="eastAsia" w:ascii="宋体" w:hAnsi="宋体" w:eastAsia="宋体" w:cs="宋体"/>
          <w:b w:val="0"/>
          <w:bCs w:val="0"/>
          <w:color w:val="auto"/>
          <w:kern w:val="0"/>
          <w:sz w:val="24"/>
          <w:szCs w:val="24"/>
          <w:highlight w:val="none"/>
          <w:lang w:val="en-US" w:eastAsia="zh-CN"/>
        </w:rPr>
        <w:t>：注册完成，找到拟参加的项目进行投标报名，上传</w:t>
      </w:r>
      <w:r>
        <w:rPr>
          <w:rFonts w:hint="eastAsia" w:asciiTheme="minorEastAsia" w:hAnsiTheme="minorEastAsia" w:eastAsiaTheme="minorEastAsia" w:cstheme="minorEastAsia"/>
          <w:b/>
          <w:bCs/>
          <w:color w:val="auto"/>
          <w:sz w:val="24"/>
          <w:szCs w:val="24"/>
          <w:lang w:val="en-US" w:eastAsia="zh-CN"/>
        </w:rPr>
        <w:t>企业营业执照（三证合一）</w:t>
      </w:r>
      <w:r>
        <w:rPr>
          <w:rFonts w:hint="eastAsia" w:asciiTheme="minorEastAsia" w:hAnsiTheme="minorEastAsia" w:eastAsiaTheme="minorEastAsia" w:cstheme="minorEastAsia"/>
          <w:b w:val="0"/>
          <w:bCs w:val="0"/>
          <w:color w:val="auto"/>
          <w:sz w:val="24"/>
          <w:szCs w:val="24"/>
          <w:lang w:val="en-US" w:eastAsia="zh-CN"/>
        </w:rPr>
        <w:t>。</w:t>
      </w:r>
      <w:r>
        <w:rPr>
          <w:rFonts w:hint="eastAsia" w:ascii="宋体" w:hAnsi="宋体" w:eastAsia="宋体" w:cs="宋体"/>
          <w:color w:val="auto"/>
          <w:kern w:val="0"/>
          <w:sz w:val="24"/>
          <w:szCs w:val="24"/>
          <w:highlight w:val="none"/>
          <w:lang w:eastAsia="zh-CN"/>
        </w:rPr>
        <w:t>报名</w:t>
      </w:r>
      <w:r>
        <w:rPr>
          <w:rFonts w:hint="eastAsia" w:ascii="宋体" w:hAnsi="宋体" w:eastAsia="宋体" w:cs="宋体"/>
          <w:color w:val="auto"/>
          <w:kern w:val="0"/>
          <w:sz w:val="24"/>
          <w:szCs w:val="24"/>
          <w:highlight w:val="none"/>
          <w:lang w:val="en-US" w:eastAsia="zh-CN"/>
        </w:rPr>
        <w:t>联系人：</w:t>
      </w:r>
      <w:r>
        <w:rPr>
          <w:rFonts w:hint="eastAsia" w:ascii="宋体" w:hAnsi="宋体" w:cs="宋体"/>
          <w:color w:val="auto"/>
          <w:kern w:val="0"/>
          <w:sz w:val="24"/>
          <w:szCs w:val="24"/>
          <w:highlight w:val="none"/>
          <w:lang w:val="en-US" w:eastAsia="zh-CN"/>
        </w:rPr>
        <w:t>高晓艳</w:t>
      </w:r>
      <w:r>
        <w:rPr>
          <w:rFonts w:hint="eastAsia" w:ascii="宋体" w:hAnsi="宋体" w:eastAsia="宋体" w:cs="宋体"/>
          <w:color w:val="auto"/>
          <w:kern w:val="0"/>
          <w:sz w:val="24"/>
          <w:szCs w:val="24"/>
          <w:highlight w:val="none"/>
          <w:lang w:val="en-US" w:eastAsia="zh-CN"/>
        </w:rPr>
        <w:t>，联系电话：</w:t>
      </w:r>
      <w:r>
        <w:rPr>
          <w:rFonts w:hint="eastAsia" w:ascii="宋体" w:hAnsi="宋体" w:cs="宋体"/>
          <w:color w:val="auto"/>
          <w:kern w:val="0"/>
          <w:sz w:val="24"/>
          <w:szCs w:val="24"/>
          <w:highlight w:val="none"/>
          <w:lang w:val="en-US" w:eastAsia="zh-CN"/>
        </w:rPr>
        <w:t>15109778689</w:t>
      </w:r>
      <w:r>
        <w:rPr>
          <w:rFonts w:hint="eastAsia" w:ascii="宋体" w:hAnsi="宋体" w:eastAsia="宋体" w:cs="宋体"/>
          <w:color w:val="auto"/>
          <w:kern w:val="0"/>
          <w:sz w:val="24"/>
          <w:szCs w:val="24"/>
          <w:highlight w:val="none"/>
          <w:lang w:val="en-US" w:eastAsia="zh-CN"/>
        </w:rPr>
        <w:t>。</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2"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具体操作流程可在</w:t>
      </w:r>
      <w:r>
        <w:rPr>
          <w:rFonts w:hint="eastAsia" w:ascii="宋体" w:hAnsi="宋体" w:eastAsia="宋体" w:cs="宋体"/>
          <w:b/>
          <w:bCs/>
          <w:color w:val="auto"/>
          <w:kern w:val="2"/>
          <w:sz w:val="24"/>
          <w:szCs w:val="24"/>
          <w:highlight w:val="none"/>
          <w:lang w:val="en-US" w:eastAsia="zh-CN" w:bidi="ar-SA"/>
        </w:rPr>
        <w:t>西部矿业阳光电商平台官网下载操作手册。</w:t>
      </w:r>
    </w:p>
    <w:p>
      <w:pPr>
        <w:keepNext w:val="0"/>
        <w:keepLines w:val="0"/>
        <w:pageBreakBefore w:val="0"/>
        <w:kinsoku/>
        <w:wordWrap/>
        <w:overflowPunct/>
        <w:autoSpaceDE/>
        <w:autoSpaceDN/>
        <w:bidi w:val="0"/>
        <w:adjustRightInd/>
        <w:snapToGrid/>
        <w:spacing w:line="360" w:lineRule="auto"/>
        <w:contextualSpacing/>
        <w:rPr>
          <w:rFonts w:hint="eastAsia" w:asciiTheme="minorEastAsia" w:hAnsiTheme="minorEastAsia" w:eastAsiaTheme="minorEastAsia" w:cstheme="minorEastAsia"/>
          <w:b/>
          <w:bCs/>
          <w:color w:val="auto"/>
          <w:sz w:val="24"/>
          <w:szCs w:val="24"/>
        </w:rPr>
      </w:pPr>
      <w:r>
        <w:rPr>
          <w:rFonts w:hint="eastAsia" w:ascii="宋体" w:hAnsi="宋体" w:eastAsia="宋体" w:cs="宋体"/>
          <w:b/>
          <w:bCs/>
          <w:color w:val="auto"/>
          <w:kern w:val="2"/>
          <w:sz w:val="24"/>
          <w:szCs w:val="24"/>
          <w:highlight w:val="none"/>
          <w:lang w:val="en-US" w:eastAsia="zh-CN" w:bidi="ar-SA"/>
        </w:rPr>
        <w:t>七、</w:t>
      </w:r>
      <w:r>
        <w:rPr>
          <w:rFonts w:hint="eastAsia" w:asciiTheme="minorEastAsia" w:hAnsiTheme="minorEastAsia" w:eastAsiaTheme="minorEastAsia" w:cstheme="minorEastAsia"/>
          <w:b/>
          <w:bCs/>
          <w:color w:val="auto"/>
          <w:sz w:val="24"/>
          <w:szCs w:val="24"/>
        </w:rPr>
        <w:t>投标截止时间及地点：</w:t>
      </w:r>
    </w:p>
    <w:p>
      <w:pPr>
        <w:keepNext w:val="0"/>
        <w:keepLines w:val="0"/>
        <w:pageBreakBefore w:val="0"/>
        <w:kinsoku/>
        <w:wordWrap/>
        <w:overflowPunct/>
        <w:autoSpaceDE/>
        <w:autoSpaceDN/>
        <w:bidi w:val="0"/>
        <w:adjustRightInd/>
        <w:snapToGrid/>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时间：</w:t>
      </w:r>
      <w:r>
        <w:rPr>
          <w:rFonts w:hint="eastAsia" w:asciiTheme="minorEastAsia" w:hAnsiTheme="minorEastAsia" w:eastAsiaTheme="minorEastAsia" w:cstheme="minorEastAsia"/>
          <w:b/>
          <w:bCs/>
          <w:color w:val="auto"/>
          <w:sz w:val="24"/>
          <w:szCs w:val="24"/>
          <w:highlight w:val="none"/>
        </w:rPr>
        <w:t>202</w:t>
      </w: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年</w:t>
      </w:r>
      <w:r>
        <w:rPr>
          <w:rFonts w:hint="eastAsia" w:asciiTheme="minorEastAsia" w:hAnsiTheme="minorEastAsia" w:eastAsiaTheme="minorEastAsia" w:cstheme="minorEastAsia"/>
          <w:b/>
          <w:bCs/>
          <w:color w:val="auto"/>
          <w:sz w:val="24"/>
          <w:szCs w:val="24"/>
          <w:highlight w:val="none"/>
          <w:lang w:val="en-US" w:eastAsia="zh-CN"/>
        </w:rPr>
        <w:t>6月29日14</w:t>
      </w:r>
      <w:r>
        <w:rPr>
          <w:rFonts w:hint="eastAsia" w:asciiTheme="minorEastAsia" w:hAnsiTheme="minorEastAsia" w:eastAsiaTheme="minorEastAsia" w:cstheme="minorEastAsia"/>
          <w:b/>
          <w:bCs/>
          <w:color w:val="auto"/>
          <w:sz w:val="24"/>
          <w:szCs w:val="24"/>
          <w:highlight w:val="none"/>
        </w:rPr>
        <w:t>时</w:t>
      </w:r>
      <w:r>
        <w:rPr>
          <w:rFonts w:hint="eastAsia" w:asciiTheme="minorEastAsia" w:hAnsiTheme="minorEastAsia" w:eastAsiaTheme="minorEastAsia" w:cstheme="minorEastAsia"/>
          <w:b/>
          <w:bCs/>
          <w:color w:val="auto"/>
          <w:sz w:val="24"/>
          <w:szCs w:val="24"/>
          <w:highlight w:val="none"/>
          <w:lang w:val="en-US" w:eastAsia="zh-CN"/>
        </w:rPr>
        <w:t>30</w:t>
      </w:r>
      <w:r>
        <w:rPr>
          <w:rFonts w:hint="eastAsia" w:asciiTheme="minorEastAsia" w:hAnsiTheme="minorEastAsia" w:eastAsiaTheme="minorEastAsia" w:cstheme="minorEastAsia"/>
          <w:b/>
          <w:bCs/>
          <w:color w:val="auto"/>
          <w:sz w:val="24"/>
          <w:szCs w:val="24"/>
          <w:highlight w:val="none"/>
        </w:rPr>
        <w:t>分（北京时间）（同开标时间）</w:t>
      </w:r>
      <w:r>
        <w:rPr>
          <w:rFonts w:hint="eastAsia" w:asciiTheme="minorEastAsia" w:hAnsiTheme="minorEastAsia" w:eastAsiaTheme="minorEastAsia" w:cstheme="minorEastAsia"/>
          <w:color w:val="auto"/>
          <w:sz w:val="24"/>
          <w:szCs w:val="24"/>
          <w:highlight w:val="none"/>
          <w:lang w:eastAsia="zh-CN"/>
        </w:rPr>
        <w:t>，逾期送达的或者未送达指定地点的投标文件，招标人拒绝接收</w:t>
      </w:r>
      <w:r>
        <w:rPr>
          <w:rFonts w:hint="eastAsia" w:asciiTheme="minorEastAsia" w:hAnsiTheme="minorEastAsia" w:eastAsiaTheme="minorEastAsia" w:cstheme="minorEastAsia"/>
          <w:color w:val="auto"/>
          <w:sz w:val="24"/>
          <w:szCs w:val="24"/>
          <w:highlight w:val="none"/>
        </w:rPr>
        <w:t>。 </w:t>
      </w:r>
    </w:p>
    <w:p>
      <w:pPr>
        <w:keepNext w:val="0"/>
        <w:keepLines w:val="0"/>
        <w:pageBreakBefore w:val="0"/>
        <w:kinsoku/>
        <w:wordWrap/>
        <w:overflowPunct/>
        <w:autoSpaceDE/>
        <w:autoSpaceDN/>
        <w:bidi w:val="0"/>
        <w:adjustRightInd/>
        <w:snapToGrid/>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地点：</w:t>
      </w:r>
      <w:r>
        <w:rPr>
          <w:rFonts w:hint="eastAsia" w:asciiTheme="minorEastAsia" w:hAnsiTheme="minorEastAsia" w:eastAsiaTheme="minorEastAsia" w:cstheme="minorEastAsia"/>
          <w:color w:val="auto"/>
          <w:sz w:val="24"/>
          <w:szCs w:val="24"/>
          <w:highlight w:val="none"/>
        </w:rPr>
        <w:t>青海省西宁市柴达木西路52号西钢置业二楼214室</w:t>
      </w:r>
      <w:r>
        <w:rPr>
          <w:rFonts w:hint="eastAsia" w:asciiTheme="minorEastAsia" w:hAnsiTheme="minorEastAsia" w:eastAsiaTheme="minorEastAsia" w:cstheme="minorEastAsia"/>
          <w:color w:val="auto"/>
          <w:sz w:val="24"/>
          <w:szCs w:val="24"/>
        </w:rPr>
        <w:t>。</w:t>
      </w:r>
    </w:p>
    <w:p>
      <w:pPr>
        <w:keepNext w:val="0"/>
        <w:keepLines w:val="0"/>
        <w:pageBreakBefore w:val="0"/>
        <w:kinsoku/>
        <w:wordWrap/>
        <w:overflowPunct/>
        <w:autoSpaceDE/>
        <w:autoSpaceDN/>
        <w:bidi w:val="0"/>
        <w:adjustRightInd/>
        <w:snapToGrid/>
        <w:spacing w:line="360" w:lineRule="auto"/>
        <w:contextualSpacing/>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八</w:t>
      </w:r>
      <w:r>
        <w:rPr>
          <w:rFonts w:hint="eastAsia" w:asciiTheme="minorEastAsia" w:hAnsiTheme="minorEastAsia" w:eastAsiaTheme="minorEastAsia" w:cstheme="minorEastAsia"/>
          <w:b/>
          <w:bCs/>
          <w:color w:val="auto"/>
          <w:sz w:val="24"/>
          <w:szCs w:val="24"/>
        </w:rPr>
        <w:t>、本次招标公告同时在下列网站发布：</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448" w:firstLine="480" w:firstLineChars="200"/>
        <w:textAlignment w:val="auto"/>
        <w:outlineLvl w:val="9"/>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 xml:space="preserve">1、西部矿业阳光电商平台（ec.westmining.com）；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448" w:firstLine="480" w:firstLineChars="200"/>
        <w:textAlignment w:val="auto"/>
        <w:outlineLvl w:val="9"/>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2、中国招标投标公共服务平台（http://www.cebpubservice.com/）；</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448" w:firstLine="480" w:firstLineChars="200"/>
        <w:textAlignment w:val="auto"/>
        <w:outlineLvl w:val="9"/>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3、西宁特殊钢股份有限公司（http://www.xntg.com）。</w:t>
      </w:r>
    </w:p>
    <w:p>
      <w:pPr>
        <w:keepNext w:val="0"/>
        <w:keepLines w:val="0"/>
        <w:pageBreakBefore w:val="0"/>
        <w:kinsoku/>
        <w:wordWrap/>
        <w:overflowPunct/>
        <w:autoSpaceDE/>
        <w:autoSpaceDN/>
        <w:bidi w:val="0"/>
        <w:adjustRightInd/>
        <w:snapToGrid/>
        <w:spacing w:line="360" w:lineRule="auto"/>
        <w:contextualSpacing/>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九</w:t>
      </w:r>
      <w:r>
        <w:rPr>
          <w:rFonts w:hint="eastAsia" w:asciiTheme="minorEastAsia" w:hAnsiTheme="minorEastAsia" w:eastAsiaTheme="minorEastAsia" w:cstheme="minorEastAsia"/>
          <w:b/>
          <w:bCs/>
          <w:color w:val="auto"/>
          <w:sz w:val="24"/>
          <w:szCs w:val="24"/>
        </w:rPr>
        <w:t>、联系方式</w:t>
      </w:r>
    </w:p>
    <w:p>
      <w:pPr>
        <w:keepNext w:val="0"/>
        <w:keepLines w:val="0"/>
        <w:pageBreakBefore w:val="0"/>
        <w:kinsoku/>
        <w:wordWrap/>
        <w:overflowPunct/>
        <w:autoSpaceDE/>
        <w:autoSpaceDN/>
        <w:bidi w:val="0"/>
        <w:adjustRightInd/>
        <w:snapToGrid/>
        <w:spacing w:line="360" w:lineRule="auto"/>
        <w:ind w:firstLine="480" w:firstLineChars="200"/>
        <w:contextualSpacing/>
        <w:rPr>
          <w:rFonts w:hint="eastAsia" w:asciiTheme="minorEastAsia" w:hAnsiTheme="minorEastAsia" w:eastAsiaTheme="minorEastAsia" w:cstheme="minorEastAsia"/>
          <w:color w:val="auto"/>
          <w:sz w:val="24"/>
          <w:szCs w:val="24"/>
          <w:lang w:eastAsia="zh-CN"/>
        </w:rPr>
      </w:pPr>
      <w:bookmarkStart w:id="3" w:name="_Toc28870"/>
      <w:bookmarkStart w:id="4" w:name="_Toc16371"/>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招 标 人：</w:t>
      </w:r>
      <w:r>
        <w:rPr>
          <w:rFonts w:hint="eastAsia" w:asciiTheme="minorEastAsia" w:hAnsiTheme="minorEastAsia" w:eastAsiaTheme="minorEastAsia" w:cstheme="minorEastAsia"/>
          <w:color w:val="auto"/>
          <w:sz w:val="24"/>
          <w:szCs w:val="24"/>
          <w:lang w:eastAsia="zh-CN"/>
        </w:rPr>
        <w:t>青海西钢再生资源综合利用开发有限公司</w:t>
      </w:r>
    </w:p>
    <w:p>
      <w:pPr>
        <w:keepNext w:val="0"/>
        <w:keepLines w:val="0"/>
        <w:pageBreakBefore w:val="0"/>
        <w:kinsoku/>
        <w:wordWrap/>
        <w:overflowPunct/>
        <w:autoSpaceDE/>
        <w:autoSpaceDN/>
        <w:bidi w:val="0"/>
        <w:adjustRightInd/>
        <w:snapToGrid/>
        <w:spacing w:line="360" w:lineRule="auto"/>
        <w:ind w:firstLine="720" w:firstLineChars="300"/>
        <w:contextualSpacing/>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 系 人：</w:t>
      </w:r>
      <w:r>
        <w:rPr>
          <w:rFonts w:hint="eastAsia" w:asciiTheme="minorEastAsia" w:hAnsiTheme="minorEastAsia" w:eastAsiaTheme="minorEastAsia" w:cstheme="minorEastAsia"/>
          <w:color w:val="auto"/>
          <w:sz w:val="24"/>
          <w:szCs w:val="24"/>
          <w:lang w:val="en-US" w:eastAsia="zh-CN"/>
        </w:rPr>
        <w:t>李顺亭</w:t>
      </w:r>
    </w:p>
    <w:p>
      <w:pPr>
        <w:keepNext w:val="0"/>
        <w:keepLines w:val="0"/>
        <w:pageBreakBefore w:val="0"/>
        <w:widowControl w:val="0"/>
        <w:kinsoku/>
        <w:wordWrap/>
        <w:overflowPunct/>
        <w:autoSpaceDE/>
        <w:bidi w:val="0"/>
        <w:adjustRightInd/>
        <w:snapToGrid/>
        <w:spacing w:line="360" w:lineRule="auto"/>
        <w:ind w:firstLine="720" w:firstLineChars="300"/>
        <w:contextualSpacing/>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lang w:eastAsia="zh-CN"/>
        </w:rPr>
        <w:t>1819</w:t>
      </w:r>
      <w:r>
        <w:rPr>
          <w:rFonts w:hint="eastAsia" w:asciiTheme="minorEastAsia" w:hAnsiTheme="minorEastAsia" w:eastAsiaTheme="minorEastAsia" w:cstheme="minorEastAsia"/>
          <w:color w:val="auto"/>
          <w:sz w:val="24"/>
          <w:szCs w:val="24"/>
          <w:highlight w:val="none"/>
          <w:lang w:val="en-US" w:eastAsia="zh-CN"/>
        </w:rPr>
        <w:t>5612654</w:t>
      </w:r>
    </w:p>
    <w:p>
      <w:pPr>
        <w:keepNext w:val="0"/>
        <w:keepLines w:val="0"/>
        <w:pageBreakBefore w:val="0"/>
        <w:widowControl w:val="0"/>
        <w:kinsoku/>
        <w:wordWrap/>
        <w:overflowPunct/>
        <w:topLinePunct/>
        <w:autoSpaceDE/>
        <w:bidi w:val="0"/>
        <w:adjustRightInd/>
        <w:snapToGrid/>
        <w:spacing w:line="360" w:lineRule="auto"/>
        <w:ind w:firstLine="480" w:firstLineChars="200"/>
        <w:contextualSpacing/>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 xml:space="preserve">招标代理机构：青海宝矿工程咨询有限公司 </w:t>
      </w:r>
    </w:p>
    <w:p>
      <w:pPr>
        <w:keepNext w:val="0"/>
        <w:keepLines w:val="0"/>
        <w:pageBreakBefore w:val="0"/>
        <w:widowControl w:val="0"/>
        <w:kinsoku/>
        <w:wordWrap/>
        <w:overflowPunct/>
        <w:topLinePunct/>
        <w:autoSpaceDE/>
        <w:bidi w:val="0"/>
        <w:adjustRightInd/>
        <w:snapToGrid/>
        <w:spacing w:line="360" w:lineRule="auto"/>
        <w:ind w:firstLine="720" w:firstLineChars="3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color w:val="auto"/>
          <w:sz w:val="24"/>
          <w:szCs w:val="24"/>
          <w:highlight w:val="none"/>
        </w:rPr>
        <w:t>青海省西宁市柴达木西路52号西钢置业二楼214室</w:t>
      </w:r>
    </w:p>
    <w:p>
      <w:pPr>
        <w:keepNext w:val="0"/>
        <w:keepLines w:val="0"/>
        <w:pageBreakBefore w:val="0"/>
        <w:widowControl w:val="0"/>
        <w:kinsoku/>
        <w:wordWrap/>
        <w:overflowPunct/>
        <w:topLinePunct/>
        <w:autoSpaceDE/>
        <w:bidi w:val="0"/>
        <w:adjustRightInd/>
        <w:snapToGrid/>
        <w:spacing w:line="360" w:lineRule="auto"/>
        <w:ind w:firstLine="720" w:firstLineChars="300"/>
        <w:contextualSpacing/>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邮    编：810003</w:t>
      </w:r>
    </w:p>
    <w:bookmarkEnd w:id="3"/>
    <w:bookmarkEnd w:id="4"/>
    <w:p>
      <w:pPr>
        <w:spacing w:line="360" w:lineRule="auto"/>
        <w:ind w:left="465" w:firstLine="240" w:firstLineChars="100"/>
        <w:contextualSpacing/>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lang w:val="en-US" w:eastAsia="zh-CN"/>
        </w:rPr>
        <w:t>高晓艳</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联系电话：</w:t>
      </w:r>
      <w:r>
        <w:rPr>
          <w:rFonts w:hint="eastAsia" w:ascii="宋体" w:hAnsi="宋体" w:cs="宋体"/>
          <w:color w:val="auto"/>
          <w:sz w:val="24"/>
          <w:szCs w:val="24"/>
          <w:lang w:val="en-US" w:eastAsia="zh-CN"/>
        </w:rPr>
        <w:t>15109778689</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办公室:0971-5</w:t>
      </w:r>
      <w:r>
        <w:rPr>
          <w:rFonts w:hint="eastAsia" w:ascii="宋体" w:hAnsi="宋体" w:eastAsia="宋体" w:cs="宋体"/>
          <w:color w:val="auto"/>
          <w:sz w:val="24"/>
          <w:szCs w:val="24"/>
          <w:lang w:val="en-US" w:eastAsia="zh-CN"/>
        </w:rPr>
        <w:t>360025</w:t>
      </w:r>
    </w:p>
    <w:p>
      <w:pPr>
        <w:spacing w:line="360" w:lineRule="auto"/>
        <w:ind w:firstLine="1200" w:firstLineChars="5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电子邮件：</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HYPERLINK "mailto:bknieguilan@163.com"</w:instrText>
      </w:r>
      <w:r>
        <w:rPr>
          <w:rFonts w:hint="eastAsia" w:ascii="宋体" w:hAnsi="宋体" w:eastAsia="宋体" w:cs="宋体"/>
          <w:color w:val="auto"/>
          <w:sz w:val="24"/>
          <w:szCs w:val="24"/>
        </w:rPr>
        <w:fldChar w:fldCharType="separate"/>
      </w:r>
      <w:r>
        <w:rPr>
          <w:rFonts w:hint="eastAsia" w:ascii="宋体" w:hAnsi="宋体" w:cs="宋体"/>
          <w:color w:val="auto"/>
          <w:sz w:val="24"/>
          <w:szCs w:val="24"/>
          <w:lang w:val="en-US" w:eastAsia="zh-CN"/>
        </w:rPr>
        <w:t>BKgaoxiaoyan</w:t>
      </w:r>
      <w:r>
        <w:rPr>
          <w:rFonts w:hint="eastAsia" w:ascii="宋体" w:hAnsi="宋体" w:eastAsia="宋体" w:cs="宋体"/>
          <w:color w:val="auto"/>
          <w:sz w:val="24"/>
          <w:szCs w:val="24"/>
        </w:rPr>
        <w:t>@163.com</w:t>
      </w:r>
      <w:r>
        <w:rPr>
          <w:rFonts w:hint="eastAsia" w:ascii="宋体" w:hAnsi="宋体" w:eastAsia="宋体" w:cs="宋体"/>
          <w:color w:val="auto"/>
          <w:sz w:val="24"/>
          <w:szCs w:val="24"/>
        </w:rPr>
        <w:fldChar w:fldCharType="end"/>
      </w:r>
    </w:p>
    <w:p>
      <w:pPr>
        <w:pStyle w:val="44"/>
        <w:numPr>
          <w:ilvl w:val="0"/>
          <w:numId w:val="1"/>
        </w:numPr>
        <w:tabs>
          <w:tab w:val="left" w:pos="350"/>
          <w:tab w:val="clear" w:pos="312"/>
        </w:tabs>
        <w:ind w:left="1198" w:leftChars="342" w:hanging="480" w:hangingChars="200"/>
        <w:outlineLvl w:val="0"/>
        <w:rPr>
          <w:rFonts w:hint="eastAsia" w:ascii="宋体" w:hAnsi="宋体" w:cs="宋体"/>
          <w:kern w:val="0"/>
          <w:sz w:val="24"/>
          <w:szCs w:val="24"/>
          <w:lang w:val="en-US" w:eastAsia="zh-CN"/>
        </w:rPr>
      </w:pPr>
      <w:r>
        <w:rPr>
          <w:rFonts w:hint="eastAsia" w:ascii="宋体" w:hAnsi="宋体" w:cs="宋体"/>
          <w:kern w:val="0"/>
          <w:sz w:val="24"/>
          <w:szCs w:val="24"/>
          <w:lang w:val="en-US" w:eastAsia="zh-CN"/>
        </w:rPr>
        <w:t>安玉明</w:t>
      </w:r>
      <w:r>
        <w:rPr>
          <w:rFonts w:hint="eastAsia" w:ascii="宋体" w:hAnsi="宋体" w:cs="宋体"/>
          <w:kern w:val="0"/>
          <w:sz w:val="24"/>
          <w:szCs w:val="24"/>
        </w:rPr>
        <w:t xml:space="preserve"> 联系电话：</w:t>
      </w:r>
      <w:r>
        <w:rPr>
          <w:rFonts w:hint="eastAsia" w:ascii="宋体" w:hAnsi="宋体" w:cs="宋体"/>
          <w:kern w:val="0"/>
          <w:sz w:val="24"/>
          <w:szCs w:val="24"/>
          <w:lang w:val="en-US" w:eastAsia="zh-CN"/>
        </w:rPr>
        <w:t>13519761316</w:t>
      </w:r>
      <w:r>
        <w:rPr>
          <w:rFonts w:hint="eastAsia" w:ascii="宋体" w:hAnsi="宋体" w:cs="宋体"/>
          <w:kern w:val="0"/>
          <w:sz w:val="24"/>
          <w:szCs w:val="24"/>
        </w:rPr>
        <w:t>  办公室: 0971-</w:t>
      </w:r>
      <w:r>
        <w:rPr>
          <w:rFonts w:hint="eastAsia" w:ascii="宋体" w:hAnsi="宋体" w:cs="宋体"/>
          <w:kern w:val="0"/>
          <w:sz w:val="24"/>
          <w:szCs w:val="24"/>
          <w:lang w:val="en-US" w:eastAsia="zh-CN"/>
        </w:rPr>
        <w:t>5311307</w:t>
      </w:r>
    </w:p>
    <w:p>
      <w:pPr>
        <w:pStyle w:val="44"/>
        <w:numPr>
          <w:ilvl w:val="0"/>
          <w:numId w:val="1"/>
        </w:numPr>
        <w:tabs>
          <w:tab w:val="left" w:pos="350"/>
          <w:tab w:val="clear" w:pos="312"/>
        </w:tabs>
        <w:ind w:left="1198" w:leftChars="342" w:hanging="480" w:hangingChars="200"/>
        <w:outlineLvl w:val="0"/>
        <w:rPr>
          <w:rFonts w:hint="eastAsia" w:ascii="宋体" w:hAnsi="宋体" w:cs="宋体"/>
          <w:sz w:val="24"/>
          <w:szCs w:val="24"/>
        </w:rPr>
      </w:pPr>
      <w:r>
        <w:rPr>
          <w:rFonts w:ascii="宋体" w:hAnsi="宋体" w:cs="宋体"/>
          <w:sz w:val="24"/>
          <w:szCs w:val="24"/>
        </w:rPr>
        <w:t>电子邮件：bk</w:t>
      </w:r>
      <w:r>
        <w:rPr>
          <w:rFonts w:hint="eastAsia" w:ascii="宋体" w:hAnsi="宋体" w:cs="宋体"/>
          <w:sz w:val="24"/>
          <w:szCs w:val="24"/>
          <w:lang w:val="en-US" w:eastAsia="zh-CN"/>
        </w:rPr>
        <w:t>anyuming</w:t>
      </w:r>
      <w:r>
        <w:rPr>
          <w:rFonts w:ascii="宋体" w:hAnsi="宋体" w:cs="宋体"/>
          <w:sz w:val="24"/>
          <w:szCs w:val="24"/>
        </w:rPr>
        <w:t>@163.com</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448"/>
        <w:textAlignment w:val="auto"/>
        <w:outlineLvl w:val="9"/>
        <w:rPr>
          <w:rFonts w:hint="eastAsia" w:asciiTheme="minorEastAsia" w:hAnsiTheme="minorEastAsia" w:eastAsiaTheme="minorEastAsia" w:cstheme="minorEastAsia"/>
          <w:color w:val="auto"/>
          <w:sz w:val="24"/>
          <w:szCs w:val="24"/>
        </w:rPr>
      </w:pPr>
      <w:r>
        <w:rPr>
          <w:rStyle w:val="26"/>
          <w:rFonts w:hint="eastAsia" w:asciiTheme="minorEastAsia" w:hAnsiTheme="minorEastAsia" w:eastAsiaTheme="minorEastAsia" w:cstheme="minorEastAsia"/>
          <w:color w:val="auto"/>
          <w:sz w:val="24"/>
          <w:szCs w:val="24"/>
          <w:shd w:val="clear" w:fill="FFFFFF"/>
          <w:lang w:val="en-US" w:eastAsia="zh-CN"/>
        </w:rPr>
        <w:t>十</w:t>
      </w:r>
      <w:r>
        <w:rPr>
          <w:rStyle w:val="26"/>
          <w:rFonts w:hint="eastAsia" w:asciiTheme="minorEastAsia" w:hAnsiTheme="minorEastAsia" w:eastAsiaTheme="minorEastAsia" w:cstheme="minorEastAsia"/>
          <w:color w:val="auto"/>
          <w:sz w:val="24"/>
          <w:szCs w:val="24"/>
          <w:shd w:val="clear" w:fill="FFFFFF"/>
        </w:rPr>
        <w:t>、相关说明</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448" w:firstLine="480" w:firstLineChars="200"/>
        <w:textAlignment w:val="auto"/>
        <w:outlineLvl w:val="9"/>
        <w:rPr>
          <w:rFonts w:hint="eastAsia" w:asciiTheme="minorEastAsia" w:hAnsiTheme="minorEastAsia" w:eastAsiaTheme="minorEastAsia" w:cstheme="minorEastAsia"/>
          <w:b w:val="0"/>
          <w:bCs/>
          <w:color w:val="auto"/>
          <w:sz w:val="24"/>
          <w:szCs w:val="24"/>
        </w:rPr>
      </w:pPr>
      <w:r>
        <w:rPr>
          <w:rStyle w:val="26"/>
          <w:rFonts w:hint="eastAsia" w:asciiTheme="minorEastAsia" w:hAnsiTheme="minorEastAsia" w:eastAsiaTheme="minorEastAsia" w:cstheme="minorEastAsia"/>
          <w:b w:val="0"/>
          <w:bCs/>
          <w:color w:val="auto"/>
          <w:sz w:val="24"/>
          <w:szCs w:val="24"/>
          <w:shd w:val="clear" w:fill="FFFFFF"/>
          <w:lang w:val="en-US" w:eastAsia="zh-CN"/>
        </w:rPr>
        <w:t>1、</w:t>
      </w:r>
      <w:r>
        <w:rPr>
          <w:rStyle w:val="26"/>
          <w:rFonts w:hint="eastAsia" w:asciiTheme="minorEastAsia" w:hAnsiTheme="minorEastAsia" w:eastAsiaTheme="minorEastAsia" w:cstheme="minorEastAsia"/>
          <w:b w:val="0"/>
          <w:bCs/>
          <w:color w:val="auto"/>
          <w:sz w:val="24"/>
          <w:szCs w:val="24"/>
          <w:shd w:val="clear" w:fill="FFFFFF"/>
        </w:rPr>
        <w:t>注册：投标人登录西部矿业阳光电商平台填写企业信息，提交注册，审核情况将在24小时内（不含法定节假日）进行反馈，审核通过的投标人方可购买招标文件，请合理安排注册时间。</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448" w:firstLine="480" w:firstLineChars="200"/>
        <w:textAlignment w:val="auto"/>
        <w:outlineLvl w:val="9"/>
        <w:rPr>
          <w:rFonts w:hint="eastAsia" w:asciiTheme="minorEastAsia" w:hAnsiTheme="minorEastAsia" w:eastAsiaTheme="minorEastAsia" w:cstheme="minorEastAsia"/>
          <w:b w:val="0"/>
          <w:bCs/>
          <w:color w:val="auto"/>
          <w:sz w:val="24"/>
          <w:szCs w:val="24"/>
        </w:rPr>
      </w:pPr>
      <w:r>
        <w:rPr>
          <w:rStyle w:val="26"/>
          <w:rFonts w:hint="eastAsia" w:asciiTheme="minorEastAsia" w:hAnsiTheme="minorEastAsia" w:eastAsiaTheme="minorEastAsia" w:cstheme="minorEastAsia"/>
          <w:b w:val="0"/>
          <w:bCs/>
          <w:color w:val="auto"/>
          <w:sz w:val="24"/>
          <w:szCs w:val="24"/>
          <w:shd w:val="clear" w:fill="FFFFFF"/>
          <w:lang w:val="en-US" w:eastAsia="zh-CN"/>
        </w:rPr>
        <w:t>2、</w:t>
      </w:r>
      <w:r>
        <w:rPr>
          <w:rStyle w:val="26"/>
          <w:rFonts w:hint="eastAsia" w:asciiTheme="minorEastAsia" w:hAnsiTheme="minorEastAsia" w:eastAsiaTheme="minorEastAsia" w:cstheme="minorEastAsia"/>
          <w:b w:val="0"/>
          <w:bCs/>
          <w:color w:val="auto"/>
          <w:sz w:val="24"/>
          <w:szCs w:val="24"/>
          <w:shd w:val="clear" w:fill="FFFFFF"/>
        </w:rPr>
        <w:t>标书款支付：注册成功，投标人登录电子采购平台，在【投标管理】→【购买文件】选择对应标段进行网上支付，不接受线下支付。</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448"/>
        <w:textAlignment w:val="auto"/>
        <w:outlineLvl w:val="9"/>
        <w:rPr>
          <w:rFonts w:hint="eastAsia" w:asciiTheme="minorEastAsia" w:hAnsiTheme="minorEastAsia" w:eastAsiaTheme="minorEastAsia" w:cstheme="minorEastAsia"/>
          <w:b w:val="0"/>
          <w:bCs/>
          <w:color w:val="auto"/>
          <w:sz w:val="24"/>
          <w:szCs w:val="24"/>
        </w:rPr>
      </w:pPr>
      <w:r>
        <w:rPr>
          <w:rStyle w:val="26"/>
          <w:rFonts w:hint="eastAsia" w:asciiTheme="minorEastAsia" w:hAnsiTheme="minorEastAsia" w:eastAsiaTheme="minorEastAsia" w:cstheme="minorEastAsia"/>
          <w:b w:val="0"/>
          <w:bCs/>
          <w:color w:val="auto"/>
          <w:sz w:val="24"/>
          <w:szCs w:val="24"/>
          <w:shd w:val="clear" w:fill="FFFFFF"/>
          <w:lang w:val="en-US" w:eastAsia="zh-CN"/>
        </w:rPr>
        <w:t xml:space="preserve">    3、</w:t>
      </w:r>
      <w:r>
        <w:rPr>
          <w:rStyle w:val="26"/>
          <w:rFonts w:hint="eastAsia" w:asciiTheme="minorEastAsia" w:hAnsiTheme="minorEastAsia" w:eastAsiaTheme="minorEastAsia" w:cstheme="minorEastAsia"/>
          <w:b w:val="0"/>
          <w:bCs/>
          <w:color w:val="auto"/>
          <w:sz w:val="24"/>
          <w:szCs w:val="24"/>
          <w:shd w:val="clear" w:fill="FFFFFF"/>
        </w:rPr>
        <w:t>文件下载：标书款支付成功后，即视为招标文件已售出，投标人可在【投标管理】→【文件下载】自行下载招标文件电子版，招标方不再提供纸质招标文件。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448"/>
        <w:textAlignment w:val="auto"/>
        <w:outlineLvl w:val="9"/>
        <w:rPr>
          <w:rFonts w:hint="eastAsia" w:asciiTheme="minorEastAsia" w:hAnsiTheme="minorEastAsia" w:eastAsiaTheme="minorEastAsia" w:cstheme="minorEastAsia"/>
          <w:b w:val="0"/>
          <w:bCs/>
          <w:color w:val="auto"/>
          <w:sz w:val="24"/>
          <w:szCs w:val="24"/>
        </w:rPr>
      </w:pPr>
      <w:r>
        <w:rPr>
          <w:rStyle w:val="26"/>
          <w:rFonts w:hint="eastAsia" w:asciiTheme="minorEastAsia" w:hAnsiTheme="minorEastAsia" w:eastAsiaTheme="minorEastAsia" w:cstheme="minorEastAsia"/>
          <w:b w:val="0"/>
          <w:bCs/>
          <w:color w:val="auto"/>
          <w:sz w:val="24"/>
          <w:szCs w:val="24"/>
          <w:shd w:val="clear" w:fill="FFFFFF"/>
          <w:lang w:val="en-US" w:eastAsia="zh-CN"/>
        </w:rPr>
        <w:t xml:space="preserve">    4、</w:t>
      </w:r>
      <w:r>
        <w:rPr>
          <w:rStyle w:val="26"/>
          <w:rFonts w:hint="eastAsia" w:asciiTheme="minorEastAsia" w:hAnsiTheme="minorEastAsia" w:eastAsiaTheme="minorEastAsia" w:cstheme="minorEastAsia"/>
          <w:b w:val="0"/>
          <w:bCs/>
          <w:color w:val="auto"/>
          <w:sz w:val="24"/>
          <w:szCs w:val="24"/>
          <w:shd w:val="clear" w:fill="FFFFFF"/>
        </w:rPr>
        <w:t>招投标全流程信息发布和联络以投标注册时填写的信息为准，投标人应对填写的所有信息的真实性和准确性负责，并自行承担信息有误导致的一切后果。</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448"/>
        <w:textAlignment w:val="auto"/>
        <w:outlineLvl w:val="9"/>
        <w:rPr>
          <w:rFonts w:hint="eastAsia" w:asciiTheme="minorEastAsia" w:hAnsiTheme="minorEastAsia" w:eastAsiaTheme="minorEastAsia" w:cstheme="minorEastAsia"/>
          <w:b w:val="0"/>
          <w:bCs/>
          <w:color w:val="auto"/>
          <w:sz w:val="24"/>
          <w:szCs w:val="24"/>
        </w:rPr>
      </w:pPr>
      <w:r>
        <w:rPr>
          <w:rStyle w:val="39"/>
          <w:rFonts w:hint="eastAsia" w:hAnsi="宋体" w:cs="宋体"/>
          <w:color w:val="auto"/>
          <w:sz w:val="32"/>
          <w:szCs w:val="32"/>
          <w:highlight w:val="none"/>
        </w:rPr>
        <w:br w:type="page"/>
      </w:r>
      <w:bookmarkStart w:id="5" w:name="_Toc1107"/>
      <w:bookmarkStart w:id="6" w:name="_Toc13950"/>
      <w:bookmarkStart w:id="7" w:name="_Toc5345"/>
    </w:p>
    <w:p>
      <w:pPr>
        <w:spacing w:line="400" w:lineRule="exact"/>
        <w:contextualSpacing/>
        <w:jc w:val="center"/>
        <w:outlineLvl w:val="0"/>
        <w:rPr>
          <w:rFonts w:ascii="宋体" w:hAnsi="宋体" w:cs="宋体"/>
          <w:color w:val="auto"/>
          <w:sz w:val="24"/>
          <w:highlight w:val="none"/>
        </w:rPr>
      </w:pPr>
      <w:r>
        <w:rPr>
          <w:rStyle w:val="39"/>
          <w:rFonts w:hint="eastAsia" w:hAnsi="宋体" w:cs="宋体"/>
          <w:color w:val="auto"/>
          <w:sz w:val="32"/>
          <w:szCs w:val="32"/>
          <w:highlight w:val="none"/>
        </w:rPr>
        <w:t>第二章 投标人须知</w:t>
      </w:r>
      <w:bookmarkEnd w:id="5"/>
      <w:bookmarkEnd w:id="6"/>
      <w:bookmarkEnd w:id="7"/>
    </w:p>
    <w:p>
      <w:pPr>
        <w:widowControl/>
        <w:tabs>
          <w:tab w:val="left" w:pos="6432"/>
        </w:tabs>
        <w:spacing w:beforeLines="50" w:line="360" w:lineRule="auto"/>
        <w:outlineLvl w:val="1"/>
        <w:rPr>
          <w:rFonts w:hint="eastAsia" w:ascii="宋体" w:hAnsi="宋体" w:eastAsia="宋体" w:cs="宋体"/>
          <w:b/>
          <w:bCs/>
          <w:color w:val="auto"/>
          <w:sz w:val="24"/>
          <w:highlight w:val="none"/>
          <w:lang w:eastAsia="zh-CN"/>
        </w:rPr>
      </w:pPr>
      <w:bookmarkStart w:id="8" w:name="_Toc29767"/>
      <w:bookmarkStart w:id="9" w:name="_Toc22971"/>
      <w:bookmarkStart w:id="10" w:name="_Toc12797"/>
      <w:bookmarkStart w:id="11" w:name="_Toc12810"/>
      <w:r>
        <w:rPr>
          <w:rFonts w:hint="eastAsia" w:ascii="宋体" w:hAnsi="宋体" w:cs="宋体"/>
          <w:b/>
          <w:bCs/>
          <w:color w:val="auto"/>
          <w:sz w:val="24"/>
          <w:highlight w:val="none"/>
        </w:rPr>
        <w:t>一、投标人须知前附表</w:t>
      </w:r>
      <w:bookmarkEnd w:id="8"/>
      <w:bookmarkEnd w:id="9"/>
      <w:bookmarkEnd w:id="10"/>
      <w:bookmarkEnd w:id="11"/>
      <w:r>
        <w:rPr>
          <w:rFonts w:hint="eastAsia" w:ascii="宋体" w:hAnsi="宋体" w:cs="宋体"/>
          <w:b/>
          <w:bCs/>
          <w:color w:val="auto"/>
          <w:sz w:val="24"/>
          <w:highlight w:val="none"/>
          <w:lang w:eastAsia="zh-CN"/>
        </w:rPr>
        <w:tab/>
      </w:r>
    </w:p>
    <w:p>
      <w:pPr>
        <w:widowControl/>
        <w:spacing w:beforeLines="50" w:line="400" w:lineRule="exact"/>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sz w:val="24"/>
          <w:highlight w:val="none"/>
        </w:rPr>
        <w:t>本表关于招标内容的具体要求是对投标人须知的具体补充和修改，如有矛盾，应以本表为准。</w:t>
      </w:r>
    </w:p>
    <w:tbl>
      <w:tblPr>
        <w:tblStyle w:val="23"/>
        <w:tblW w:w="83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39"/>
        <w:gridCol w:w="1571"/>
        <w:gridCol w:w="62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blHeader/>
          <w:jc w:val="center"/>
        </w:trPr>
        <w:tc>
          <w:tcPr>
            <w:tcW w:w="539" w:type="dxa"/>
            <w:shd w:val="clear" w:color="auto" w:fill="D9D9D9"/>
            <w:vAlign w:val="center"/>
          </w:tcPr>
          <w:p>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1571" w:type="dxa"/>
            <w:shd w:val="clear" w:color="auto" w:fill="D9D9D9"/>
            <w:vAlign w:val="center"/>
          </w:tcPr>
          <w:p>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条款名称</w:t>
            </w:r>
          </w:p>
        </w:tc>
        <w:tc>
          <w:tcPr>
            <w:tcW w:w="6282" w:type="dxa"/>
            <w:shd w:val="clear" w:color="auto" w:fill="D9D9D9"/>
            <w:vAlign w:val="center"/>
          </w:tcPr>
          <w:p>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4" w:hRule="atLeast"/>
          <w:jc w:val="center"/>
        </w:trPr>
        <w:tc>
          <w:tcPr>
            <w:tcW w:w="539"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和编号</w:t>
            </w:r>
          </w:p>
        </w:tc>
        <w:tc>
          <w:tcPr>
            <w:tcW w:w="628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招标编号：</w:t>
            </w:r>
            <w:r>
              <w:rPr>
                <w:rFonts w:hint="eastAsia" w:asciiTheme="minorEastAsia" w:hAnsiTheme="minorEastAsia" w:eastAsiaTheme="minorEastAsia" w:cstheme="minorEastAsia"/>
                <w:color w:val="auto"/>
                <w:sz w:val="24"/>
                <w:szCs w:val="24"/>
                <w:highlight w:val="none"/>
                <w:lang w:eastAsia="zh-CN"/>
              </w:rPr>
              <w:t>XNTG21053</w:t>
            </w:r>
          </w:p>
          <w:p>
            <w:pPr>
              <w:topLinePunct/>
              <w:spacing w:line="400" w:lineRule="exact"/>
              <w:contextualSpacing/>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青海西钢再生资源综合利用开发有限公司2021年7月废旧物资销售项目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539"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招标人</w:t>
            </w:r>
          </w:p>
        </w:tc>
        <w:tc>
          <w:tcPr>
            <w:tcW w:w="628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青海西钢再生资源综合利用开发有限公司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5" w:hRule="atLeast"/>
          <w:jc w:val="center"/>
        </w:trPr>
        <w:tc>
          <w:tcPr>
            <w:tcW w:w="539"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招标组织形式</w:t>
            </w:r>
          </w:p>
        </w:tc>
        <w:tc>
          <w:tcPr>
            <w:tcW w:w="628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委托招标代理机构代理招标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539"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招标方式</w:t>
            </w:r>
          </w:p>
        </w:tc>
        <w:tc>
          <w:tcPr>
            <w:tcW w:w="628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539"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资格审查</w:t>
            </w:r>
          </w:p>
        </w:tc>
        <w:tc>
          <w:tcPr>
            <w:tcW w:w="628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资格后审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539"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物资地点</w:t>
            </w:r>
          </w:p>
        </w:tc>
        <w:tc>
          <w:tcPr>
            <w:tcW w:w="628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青海西钢再生资源综合利用开发有限公司</w:t>
            </w:r>
            <w:r>
              <w:rPr>
                <w:rFonts w:hint="eastAsia" w:asciiTheme="minorEastAsia" w:hAnsiTheme="minorEastAsia" w:eastAsiaTheme="minorEastAsia" w:cstheme="minorEastAsia"/>
                <w:color w:val="auto"/>
                <w:sz w:val="24"/>
                <w:szCs w:val="24"/>
                <w:highlight w:val="none"/>
              </w:rPr>
              <w:t>厂区内</w:t>
            </w:r>
            <w:r>
              <w:rPr>
                <w:rFonts w:hint="eastAsia" w:asciiTheme="minorEastAsia" w:hAnsiTheme="minorEastAsia" w:eastAsiaTheme="minorEastAsia" w:cstheme="minorEastAsia"/>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539"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勘验物资联系人</w:t>
            </w:r>
          </w:p>
        </w:tc>
        <w:tc>
          <w:tcPr>
            <w:tcW w:w="6282" w:type="dxa"/>
            <w:vAlign w:val="center"/>
          </w:tcPr>
          <w:p>
            <w:pPr>
              <w:topLinePunct/>
              <w:spacing w:line="400" w:lineRule="exact"/>
              <w:contextualSpacing/>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w:t>
            </w:r>
            <w:r>
              <w:rPr>
                <w:rFonts w:hint="eastAsia" w:asciiTheme="minorEastAsia" w:hAnsiTheme="minorEastAsia" w:eastAsiaTheme="minorEastAsia" w:cstheme="minorEastAsia"/>
                <w:color w:val="auto"/>
                <w:sz w:val="24"/>
                <w:szCs w:val="24"/>
                <w:highlight w:val="none"/>
                <w:lang w:val="en-US" w:eastAsia="zh-CN"/>
              </w:rPr>
              <w:t xml:space="preserve"> 系 人：李顺亭  电话：18195612654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539" w:type="dxa"/>
            <w:vAlign w:val="center"/>
          </w:tcPr>
          <w:p>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8</w:t>
            </w:r>
          </w:p>
        </w:tc>
        <w:tc>
          <w:tcPr>
            <w:tcW w:w="1571"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踏勘现场</w:t>
            </w:r>
          </w:p>
        </w:tc>
        <w:tc>
          <w:tcPr>
            <w:tcW w:w="6282"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各投标人请自行踏勘现场，在详细了解</w:t>
            </w:r>
            <w:r>
              <w:rPr>
                <w:rFonts w:hint="eastAsia" w:asciiTheme="minorEastAsia" w:hAnsiTheme="minorEastAsia" w:eastAsiaTheme="minorEastAsia" w:cstheme="minorEastAsia"/>
                <w:color w:val="auto"/>
                <w:sz w:val="24"/>
                <w:szCs w:val="24"/>
                <w:lang w:val="en-US" w:eastAsia="zh-CN"/>
              </w:rPr>
              <w:t>物资</w:t>
            </w:r>
            <w:r>
              <w:rPr>
                <w:rFonts w:hint="eastAsia" w:asciiTheme="minorEastAsia" w:hAnsiTheme="minorEastAsia" w:eastAsiaTheme="minorEastAsia" w:cstheme="minorEastAsia"/>
                <w:color w:val="auto"/>
                <w:sz w:val="24"/>
                <w:szCs w:val="24"/>
                <w:lang w:eastAsia="zh-CN"/>
              </w:rPr>
              <w:t>实际</w:t>
            </w:r>
            <w:r>
              <w:rPr>
                <w:rFonts w:hint="eastAsia" w:asciiTheme="minorEastAsia" w:hAnsiTheme="minorEastAsia" w:eastAsiaTheme="minorEastAsia" w:cstheme="minorEastAsia"/>
                <w:color w:val="auto"/>
                <w:sz w:val="24"/>
                <w:szCs w:val="24"/>
              </w:rPr>
              <w:t>情况后报价。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539" w:type="dxa"/>
            <w:vAlign w:val="center"/>
          </w:tcPr>
          <w:p>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9</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招标代理机构</w:t>
            </w:r>
          </w:p>
        </w:tc>
        <w:tc>
          <w:tcPr>
            <w:tcW w:w="628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青海宝矿工程咨询有限公司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539" w:type="dxa"/>
            <w:vAlign w:val="center"/>
          </w:tcPr>
          <w:p>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10</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4"/>
                <w:szCs w:val="24"/>
                <w:highlight w:val="yellow"/>
              </w:rPr>
            </w:pPr>
            <w:r>
              <w:rPr>
                <w:rFonts w:hint="eastAsia" w:asciiTheme="minorEastAsia" w:hAnsiTheme="minorEastAsia" w:eastAsiaTheme="minorEastAsia" w:cstheme="minorEastAsia"/>
                <w:color w:val="auto"/>
                <w:kern w:val="2"/>
                <w:sz w:val="24"/>
                <w:szCs w:val="24"/>
                <w:lang w:val="en-US" w:eastAsia="zh-CN" w:bidi="ar-SA"/>
              </w:rPr>
              <w:t>投标报价</w:t>
            </w:r>
          </w:p>
        </w:tc>
        <w:tc>
          <w:tcPr>
            <w:tcW w:w="6282" w:type="dxa"/>
            <w:vAlign w:val="center"/>
          </w:tcPr>
          <w:p>
            <w:pPr>
              <w:keepNext w:val="0"/>
              <w:keepLines w:val="0"/>
              <w:pageBreakBefore w:val="0"/>
              <w:widowControl/>
              <w:suppressLineNumbers w:val="0"/>
              <w:tabs>
                <w:tab w:val="left" w:pos="220"/>
                <w:tab w:val="center" w:pos="4741"/>
              </w:tabs>
              <w:kinsoku/>
              <w:wordWrap/>
              <w:overflowPunct/>
              <w:autoSpaceDE/>
              <w:autoSpaceDN/>
              <w:bidi w:val="0"/>
              <w:adjustRightInd/>
              <w:snapToGrid/>
              <w:spacing w:line="360" w:lineRule="auto"/>
              <w:jc w:val="left"/>
              <w:textAlignment w:val="center"/>
              <w:rPr>
                <w:rFonts w:hint="eastAsia" w:asciiTheme="minorEastAsia" w:hAnsiTheme="minorEastAsia" w:eastAsiaTheme="minorEastAsia" w:cstheme="minorEastAsia"/>
                <w:b/>
                <w:bCs/>
                <w:i w:val="0"/>
                <w:color w:val="auto"/>
                <w:kern w:val="0"/>
                <w:sz w:val="24"/>
                <w:szCs w:val="24"/>
                <w:u w:val="none"/>
                <w:lang w:val="en-US" w:eastAsia="zh-CN" w:bidi="ar"/>
              </w:rPr>
            </w:pPr>
            <w:r>
              <w:rPr>
                <w:rFonts w:hint="eastAsia" w:asciiTheme="minorEastAsia" w:hAnsiTheme="minorEastAsia" w:eastAsiaTheme="minorEastAsia" w:cstheme="minorEastAsia"/>
                <w:b/>
                <w:bCs/>
                <w:i w:val="0"/>
                <w:color w:val="auto"/>
                <w:kern w:val="0"/>
                <w:sz w:val="24"/>
                <w:szCs w:val="24"/>
                <w:u w:val="none"/>
                <w:lang w:val="en-US" w:eastAsia="zh-CN" w:bidi="ar"/>
              </w:rPr>
              <w:t>注：</w:t>
            </w:r>
          </w:p>
          <w:p>
            <w:pPr>
              <w:keepNext w:val="0"/>
              <w:keepLines w:val="0"/>
              <w:pageBreakBefore w:val="0"/>
              <w:widowControl/>
              <w:suppressLineNumbers w:val="0"/>
              <w:tabs>
                <w:tab w:val="left" w:pos="220"/>
                <w:tab w:val="center" w:pos="4741"/>
              </w:tabs>
              <w:kinsoku/>
              <w:wordWrap/>
              <w:overflowPunct/>
              <w:autoSpaceDE/>
              <w:autoSpaceDN/>
              <w:bidi w:val="0"/>
              <w:adjustRightInd/>
              <w:snapToGrid/>
              <w:spacing w:line="360" w:lineRule="auto"/>
              <w:jc w:val="left"/>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1、各投标人可就一个或多个标段投标，并允许同时中标多个标段。</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每一标段各投标人仅有一次报价机会，最高价中标（即投标文件中的报价为最终报价，若最高报价有相同的，则仅允许最高报价相同的投标人再次报价，直至确定最高报价投标人即可）；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4"/>
                <w:szCs w:val="24"/>
                <w:highlight w:val="yellow"/>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3、各标段物资投</w:t>
            </w:r>
            <w:r>
              <w:rPr>
                <w:rFonts w:hint="eastAsia" w:asciiTheme="minorEastAsia" w:hAnsiTheme="minorEastAsia" w:eastAsiaTheme="minorEastAsia" w:cstheme="minorEastAsia"/>
                <w:b w:val="0"/>
                <w:bCs w:val="0"/>
                <w:color w:val="auto"/>
                <w:kern w:val="0"/>
                <w:sz w:val="24"/>
                <w:szCs w:val="24"/>
                <w:lang w:val="en-US" w:eastAsia="zh-CN"/>
              </w:rPr>
              <w:t>标单价报价不得低于控制单价，否则将被否决投标</w:t>
            </w:r>
            <w:r>
              <w:rPr>
                <w:rFonts w:hint="eastAsia" w:asciiTheme="minorEastAsia" w:hAnsiTheme="minorEastAsia" w:eastAsiaTheme="minorEastAsia" w:cstheme="minorEastAsia"/>
                <w:i w:val="0"/>
                <w:color w:val="auto"/>
                <w:kern w:val="0"/>
                <w:sz w:val="24"/>
                <w:szCs w:val="24"/>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9" w:type="dxa"/>
            <w:vAlign w:val="center"/>
          </w:tcPr>
          <w:p>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11</w:t>
            </w:r>
          </w:p>
        </w:tc>
        <w:tc>
          <w:tcPr>
            <w:tcW w:w="157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投标保证金</w:t>
            </w:r>
          </w:p>
        </w:tc>
        <w:tc>
          <w:tcPr>
            <w:tcW w:w="6282" w:type="dxa"/>
            <w:vAlign w:val="center"/>
          </w:tcPr>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（1）投标保证金形式：</w:t>
            </w:r>
            <w:r>
              <w:rPr>
                <w:rFonts w:hint="eastAsia"/>
                <w:b/>
                <w:bCs/>
                <w:color w:val="auto"/>
                <w:sz w:val="24"/>
                <w:szCs w:val="24"/>
                <w:highlight w:val="none"/>
                <w:lang w:val="en-US" w:eastAsia="zh-CN"/>
              </w:rPr>
              <w:t>登录《西部矿业阳光电商平台》查询本项目生成的对应的子账号，从投标人的账户（账户名称必须与投标人名称一致）转至查询的子账号，转账时请备注项目编号及项目名称；</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（2）投标保证金的金额：</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一标段：人民币3000元（大写人民币叁仟元）</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二标段：人民币10000元（大写人民币壹万元）</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三标段：人民币4000元（大写人民币肆仟元）</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四标段：人民币4000元（大写人民币肆仟元）</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五标段：人民币1000元（大写人民币壹仟元）</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六标段：人民币1000元（大写人民币壹仟元）</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投标保证金有效期与投标有效期一致；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9" w:type="dxa"/>
            <w:vAlign w:val="center"/>
          </w:tcPr>
          <w:p>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12</w:t>
            </w:r>
          </w:p>
        </w:tc>
        <w:tc>
          <w:tcPr>
            <w:tcW w:w="1571"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澄清答疑时间</w:t>
            </w:r>
          </w:p>
        </w:tc>
        <w:tc>
          <w:tcPr>
            <w:tcW w:w="6282"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投标人对招标文件有异议的应当在</w:t>
            </w:r>
            <w:r>
              <w:rPr>
                <w:rFonts w:hint="eastAsia" w:ascii="宋体" w:hAnsi="宋体" w:cs="宋体"/>
                <w:color w:val="auto"/>
                <w:sz w:val="24"/>
                <w:szCs w:val="24"/>
                <w:lang w:val="en-US" w:eastAsia="zh-CN"/>
              </w:rPr>
              <w:t>开标截止前</w:t>
            </w:r>
            <w:r>
              <w:rPr>
                <w:rFonts w:hint="eastAsia" w:ascii="宋体" w:hAnsi="宋体" w:eastAsia="宋体" w:cs="宋体"/>
                <w:color w:val="auto"/>
                <w:sz w:val="24"/>
                <w:szCs w:val="24"/>
              </w:rPr>
              <w:t>提出，招标人在</w:t>
            </w:r>
            <w:r>
              <w:rPr>
                <w:rFonts w:hint="eastAsia" w:ascii="宋体" w:hAnsi="宋体" w:cs="宋体"/>
                <w:color w:val="auto"/>
                <w:sz w:val="24"/>
                <w:szCs w:val="24"/>
                <w:lang w:val="en-US" w:eastAsia="zh-CN"/>
              </w:rPr>
              <w:t>24小时内</w:t>
            </w:r>
            <w:r>
              <w:rPr>
                <w:rFonts w:hint="eastAsia" w:ascii="宋体" w:hAnsi="宋体" w:eastAsia="宋体" w:cs="宋体"/>
                <w:color w:val="auto"/>
                <w:sz w:val="24"/>
                <w:szCs w:val="24"/>
              </w:rPr>
              <w:t>给予答复。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539" w:type="dxa"/>
            <w:vAlign w:val="center"/>
          </w:tcPr>
          <w:p>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13</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p>
        </w:tc>
        <w:tc>
          <w:tcPr>
            <w:tcW w:w="628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开标后90天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9" w:type="dxa"/>
            <w:vAlign w:val="center"/>
          </w:tcPr>
          <w:p>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14</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投标文件份数</w:t>
            </w:r>
          </w:p>
        </w:tc>
        <w:tc>
          <w:tcPr>
            <w:tcW w:w="628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纸质版投标文件</w:t>
            </w:r>
            <w:r>
              <w:rPr>
                <w:rFonts w:hint="eastAsia" w:asciiTheme="minorEastAsia" w:hAnsiTheme="minorEastAsia" w:eastAsiaTheme="minorEastAsia" w:cstheme="minorEastAsia"/>
                <w:color w:val="auto"/>
                <w:sz w:val="24"/>
                <w:szCs w:val="24"/>
                <w:highlight w:val="none"/>
              </w:rPr>
              <w:t>正本一份，副本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份，电子版（U盘或光盘）一份（应为可编辑的word、excel文件</w:t>
            </w:r>
            <w:r>
              <w:rPr>
                <w:rFonts w:hint="eastAsia" w:asciiTheme="minorEastAsia" w:hAnsiTheme="minorEastAsia" w:eastAsiaTheme="minorEastAsia" w:cstheme="minorEastAsia"/>
                <w:color w:val="auto"/>
                <w:sz w:val="24"/>
                <w:szCs w:val="24"/>
                <w:highlight w:val="none"/>
                <w:lang w:val="en-US" w:eastAsia="zh-CN"/>
              </w:rPr>
              <w:t>和盖章版的PDF文件</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9" w:type="dxa"/>
            <w:vAlign w:val="center"/>
          </w:tcPr>
          <w:p>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15</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投标截止时间</w:t>
            </w:r>
          </w:p>
        </w:tc>
        <w:tc>
          <w:tcPr>
            <w:tcW w:w="628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202</w:t>
            </w: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年</w:t>
            </w:r>
            <w:r>
              <w:rPr>
                <w:rFonts w:hint="eastAsia" w:asciiTheme="minorEastAsia" w:hAnsiTheme="minorEastAsia" w:eastAsiaTheme="minorEastAsia" w:cstheme="minorEastAsia"/>
                <w:b/>
                <w:bCs/>
                <w:color w:val="auto"/>
                <w:sz w:val="24"/>
                <w:szCs w:val="24"/>
                <w:highlight w:val="none"/>
                <w:lang w:val="en-US" w:eastAsia="zh-CN"/>
              </w:rPr>
              <w:t>6月29日14</w:t>
            </w:r>
            <w:r>
              <w:rPr>
                <w:rFonts w:hint="eastAsia" w:asciiTheme="minorEastAsia" w:hAnsiTheme="minorEastAsia" w:eastAsiaTheme="minorEastAsia" w:cstheme="minorEastAsia"/>
                <w:b/>
                <w:bCs/>
                <w:color w:val="auto"/>
                <w:sz w:val="24"/>
                <w:szCs w:val="24"/>
                <w:highlight w:val="none"/>
              </w:rPr>
              <w:t>时</w:t>
            </w:r>
            <w:r>
              <w:rPr>
                <w:rFonts w:hint="eastAsia" w:asciiTheme="minorEastAsia" w:hAnsiTheme="minorEastAsia" w:eastAsiaTheme="minorEastAsia" w:cstheme="minorEastAsia"/>
                <w:b/>
                <w:bCs/>
                <w:color w:val="auto"/>
                <w:sz w:val="24"/>
                <w:szCs w:val="24"/>
                <w:highlight w:val="none"/>
                <w:lang w:val="en-US" w:eastAsia="zh-CN"/>
              </w:rPr>
              <w:t>30</w:t>
            </w:r>
            <w:r>
              <w:rPr>
                <w:rFonts w:hint="eastAsia" w:asciiTheme="minorEastAsia" w:hAnsiTheme="minorEastAsia" w:eastAsiaTheme="minorEastAsia" w:cstheme="minorEastAsia"/>
                <w:b/>
                <w:bCs/>
                <w:color w:val="auto"/>
                <w:sz w:val="24"/>
                <w:szCs w:val="24"/>
                <w:highlight w:val="none"/>
              </w:rPr>
              <w:t>分（北京时间）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9" w:type="dxa"/>
            <w:vAlign w:val="center"/>
          </w:tcPr>
          <w:p>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16</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递交投标文件地点</w:t>
            </w:r>
          </w:p>
        </w:tc>
        <w:tc>
          <w:tcPr>
            <w:tcW w:w="628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青海省西宁市柴达木西路52号西钢置业二楼214室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9" w:type="dxa"/>
            <w:vAlign w:val="center"/>
          </w:tcPr>
          <w:p>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17</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w:t>
            </w:r>
          </w:p>
        </w:tc>
        <w:tc>
          <w:tcPr>
            <w:tcW w:w="628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开标时间：</w:t>
            </w:r>
            <w:r>
              <w:rPr>
                <w:rFonts w:hint="eastAsia" w:asciiTheme="minorEastAsia" w:hAnsiTheme="minorEastAsia" w:eastAsiaTheme="minorEastAsia" w:cstheme="minorEastAsia"/>
                <w:color w:val="auto"/>
                <w:sz w:val="24"/>
                <w:szCs w:val="24"/>
                <w:highlight w:val="none"/>
                <w:lang w:val="en-US" w:eastAsia="zh-CN"/>
              </w:rPr>
              <w:t>同投标截止时间。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开标地点：青海省西宁市柴达木西路52号西钢置业二楼214室。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5" w:hRule="atLeast"/>
          <w:jc w:val="center"/>
        </w:trPr>
        <w:tc>
          <w:tcPr>
            <w:tcW w:w="539" w:type="dxa"/>
            <w:vAlign w:val="center"/>
          </w:tcPr>
          <w:p>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rPr>
              <w:t>18</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签订合同</w:t>
            </w:r>
          </w:p>
        </w:tc>
        <w:tc>
          <w:tcPr>
            <w:tcW w:w="628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中标人在收到中标通知书后</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日内，应与招标人签订合同。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9" w:type="dxa"/>
            <w:vAlign w:val="center"/>
          </w:tcPr>
          <w:p>
            <w:pPr>
              <w:jc w:val="cente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19</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招标代理服务费</w:t>
            </w:r>
          </w:p>
        </w:tc>
        <w:tc>
          <w:tcPr>
            <w:tcW w:w="6282" w:type="dxa"/>
            <w:vAlign w:val="center"/>
          </w:tcPr>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zh-CN"/>
              </w:rPr>
              <w:t>中标人须向</w:t>
            </w:r>
            <w:r>
              <w:rPr>
                <w:rFonts w:hint="eastAsia" w:asciiTheme="minorEastAsia" w:hAnsiTheme="minorEastAsia" w:eastAsiaTheme="minorEastAsia" w:cstheme="minorEastAsia"/>
                <w:b/>
                <w:bCs/>
                <w:color w:val="auto"/>
                <w:sz w:val="24"/>
                <w:szCs w:val="24"/>
                <w:highlight w:val="none"/>
              </w:rPr>
              <w:t>招标</w:t>
            </w:r>
            <w:r>
              <w:rPr>
                <w:rFonts w:hint="eastAsia" w:asciiTheme="minorEastAsia" w:hAnsiTheme="minorEastAsia" w:eastAsiaTheme="minorEastAsia" w:cstheme="minorEastAsia"/>
                <w:b/>
                <w:bCs/>
                <w:color w:val="auto"/>
                <w:sz w:val="24"/>
                <w:szCs w:val="24"/>
                <w:highlight w:val="none"/>
                <w:lang w:val="zh-CN"/>
              </w:rPr>
              <w:t>代理机构</w:t>
            </w:r>
            <w:r>
              <w:rPr>
                <w:rFonts w:hint="eastAsia" w:asciiTheme="minorEastAsia" w:hAnsiTheme="minorEastAsia" w:eastAsiaTheme="minorEastAsia" w:cstheme="minorEastAsia"/>
                <w:b/>
                <w:bCs/>
                <w:color w:val="auto"/>
                <w:sz w:val="24"/>
                <w:szCs w:val="24"/>
                <w:highlight w:val="none"/>
              </w:rPr>
              <w:t>缴纳招标代理服务费</w:t>
            </w:r>
            <w:r>
              <w:rPr>
                <w:rFonts w:hint="eastAsia" w:asciiTheme="minorEastAsia" w:hAnsiTheme="minorEastAsia" w:eastAsiaTheme="minorEastAsia" w:cstheme="minorEastAsia"/>
                <w:b/>
                <w:bCs/>
                <w:color w:val="auto"/>
                <w:sz w:val="24"/>
                <w:szCs w:val="24"/>
                <w:highlight w:val="none"/>
                <w:lang w:val="en-US" w:eastAsia="zh-CN"/>
              </w:rPr>
              <w:t>各标段均按固定收取为：</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一标段：人民币3000元（大写人民币叁仟元）</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二标段：人民币10000元（大写人民币壹万元）</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三标段：人民币4000元（大写人民币肆仟元）</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四标段：人民币4000元（大写人民币肆仟元）</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五标段：人民币1000元（大写人民币壹仟元）</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六标段：人民币1000元（大写人民币壹仟元）</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招标代理服务费从投标</w:t>
            </w:r>
            <w:r>
              <w:rPr>
                <w:rFonts w:hint="eastAsia" w:asciiTheme="minorEastAsia" w:hAnsiTheme="minorEastAsia" w:eastAsiaTheme="minorEastAsia" w:cstheme="minorEastAsia"/>
                <w:b/>
                <w:bCs/>
                <w:color w:val="auto"/>
                <w:sz w:val="24"/>
                <w:szCs w:val="24"/>
                <w:highlight w:val="none"/>
              </w:rPr>
              <w:t>保证金中扣除</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招标代理服务费不随购买数量的变化而变化，即收取后不予退还。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9" w:type="dxa"/>
            <w:vAlign w:val="center"/>
          </w:tcPr>
          <w:p>
            <w:pPr>
              <w:jc w:val="cente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20</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履约保证金</w:t>
            </w:r>
          </w:p>
        </w:tc>
        <w:tc>
          <w:tcPr>
            <w:tcW w:w="628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为中标合同总额的10%。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9" w:type="dxa"/>
            <w:vAlign w:val="center"/>
          </w:tcPr>
          <w:p>
            <w:pPr>
              <w:jc w:val="cente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21</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开标方式</w:t>
            </w:r>
          </w:p>
        </w:tc>
        <w:tc>
          <w:tcPr>
            <w:tcW w:w="628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线下纸质开标</w:t>
            </w:r>
          </w:p>
        </w:tc>
      </w:tr>
    </w:tbl>
    <w:p>
      <w:pPr>
        <w:widowControl/>
        <w:spacing w:beforeLines="50" w:line="400" w:lineRule="exact"/>
        <w:ind w:firstLine="482" w:firstLineChars="200"/>
        <w:contextualSpacing/>
        <w:outlineLvl w:val="1"/>
        <w:rPr>
          <w:rFonts w:cs="宋体" w:asciiTheme="minorEastAsia" w:hAnsiTheme="minorEastAsia" w:eastAsiaTheme="minorEastAsia"/>
          <w:b/>
          <w:bCs/>
          <w:color w:val="auto"/>
          <w:sz w:val="24"/>
          <w:highlight w:val="none"/>
        </w:rPr>
      </w:pPr>
      <w:bookmarkStart w:id="12" w:name="_Toc13218"/>
      <w:bookmarkStart w:id="13" w:name="_Toc5652"/>
      <w:bookmarkStart w:id="14" w:name="_Toc4127"/>
      <w:bookmarkStart w:id="15" w:name="_Toc8472"/>
      <w:r>
        <w:rPr>
          <w:rFonts w:hint="eastAsia" w:cs="宋体" w:asciiTheme="minorEastAsia" w:hAnsiTheme="minorEastAsia" w:eastAsiaTheme="minorEastAsia"/>
          <w:b/>
          <w:bCs/>
          <w:color w:val="auto"/>
          <w:sz w:val="24"/>
          <w:highlight w:val="none"/>
        </w:rPr>
        <w:t>二、招标范围和内容</w:t>
      </w:r>
      <w:bookmarkEnd w:id="12"/>
      <w:bookmarkEnd w:id="13"/>
      <w:bookmarkEnd w:id="14"/>
      <w:bookmarkEnd w:id="15"/>
    </w:p>
    <w:p>
      <w:pPr>
        <w:widowControl/>
        <w:spacing w:beforeLines="50" w:line="40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见“第四章 物资技术资料”</w:t>
      </w:r>
    </w:p>
    <w:p>
      <w:pPr>
        <w:widowControl/>
        <w:spacing w:beforeLines="50" w:line="400" w:lineRule="exact"/>
        <w:ind w:firstLine="482" w:firstLineChars="200"/>
        <w:contextualSpacing/>
        <w:outlineLvl w:val="1"/>
        <w:rPr>
          <w:rFonts w:cs="宋体" w:asciiTheme="minorEastAsia" w:hAnsiTheme="minorEastAsia" w:eastAsiaTheme="minorEastAsia"/>
          <w:b/>
          <w:bCs/>
          <w:color w:val="auto"/>
          <w:sz w:val="24"/>
          <w:highlight w:val="none"/>
        </w:rPr>
      </w:pPr>
      <w:bookmarkStart w:id="16" w:name="_Toc7516"/>
      <w:bookmarkStart w:id="17" w:name="_Toc4593"/>
      <w:bookmarkStart w:id="18" w:name="_Toc10780"/>
      <w:bookmarkStart w:id="19" w:name="_Toc20196"/>
      <w:r>
        <w:rPr>
          <w:rFonts w:hint="eastAsia" w:cs="宋体" w:asciiTheme="minorEastAsia" w:hAnsiTheme="minorEastAsia" w:eastAsiaTheme="minorEastAsia"/>
          <w:b/>
          <w:bCs/>
          <w:color w:val="auto"/>
          <w:sz w:val="24"/>
          <w:highlight w:val="none"/>
        </w:rPr>
        <w:t>三、招标文件</w:t>
      </w:r>
      <w:bookmarkEnd w:id="16"/>
      <w:bookmarkEnd w:id="17"/>
      <w:bookmarkEnd w:id="18"/>
      <w:bookmarkEnd w:id="19"/>
    </w:p>
    <w:p>
      <w:pPr>
        <w:widowControl/>
        <w:spacing w:beforeLines="50" w:line="400" w:lineRule="exact"/>
        <w:ind w:firstLine="482" w:firstLineChars="200"/>
        <w:contextualSpacing/>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（一）招标文件的构成</w:t>
      </w:r>
    </w:p>
    <w:p>
      <w:pPr>
        <w:keepNext w:val="0"/>
        <w:keepLines w:val="0"/>
        <w:pageBreakBefore w:val="0"/>
        <w:widowControl/>
        <w:kinsoku/>
        <w:wordWrap/>
        <w:overflowPunct/>
        <w:topLinePunct w:val="0"/>
        <w:autoSpaceDE/>
        <w:autoSpaceDN/>
        <w:bidi w:val="0"/>
        <w:adjustRightInd/>
        <w:snapToGrid/>
        <w:spacing w:beforeLines="50" w:line="400" w:lineRule="exact"/>
        <w:ind w:firstLine="480" w:firstLineChars="200"/>
        <w:contextualSpacing/>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第一章  招标公告</w:t>
      </w:r>
    </w:p>
    <w:p>
      <w:pPr>
        <w:keepNext w:val="0"/>
        <w:keepLines w:val="0"/>
        <w:pageBreakBefore w:val="0"/>
        <w:widowControl/>
        <w:kinsoku/>
        <w:wordWrap/>
        <w:overflowPunct/>
        <w:topLinePunct w:val="0"/>
        <w:autoSpaceDE/>
        <w:autoSpaceDN/>
        <w:bidi w:val="0"/>
        <w:adjustRightInd/>
        <w:snapToGrid/>
        <w:spacing w:beforeLines="50" w:line="400" w:lineRule="exact"/>
        <w:ind w:firstLine="480" w:firstLineChars="200"/>
        <w:contextualSpacing/>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第二章  投标人须知</w:t>
      </w:r>
    </w:p>
    <w:p>
      <w:pPr>
        <w:keepNext w:val="0"/>
        <w:keepLines w:val="0"/>
        <w:pageBreakBefore w:val="0"/>
        <w:widowControl/>
        <w:kinsoku/>
        <w:wordWrap/>
        <w:overflowPunct/>
        <w:topLinePunct w:val="0"/>
        <w:autoSpaceDE/>
        <w:autoSpaceDN/>
        <w:bidi w:val="0"/>
        <w:adjustRightInd/>
        <w:snapToGrid/>
        <w:spacing w:beforeLines="50" w:line="400" w:lineRule="exact"/>
        <w:ind w:firstLine="480" w:firstLineChars="200"/>
        <w:contextualSpacing/>
        <w:textAlignment w:val="auto"/>
        <w:rPr>
          <w:rFonts w:ascii="黑体" w:hAnsi="宋体" w:eastAsia="黑体"/>
          <w:b/>
          <w:color w:val="auto"/>
          <w:sz w:val="36"/>
          <w:szCs w:val="36"/>
          <w:highlight w:val="none"/>
        </w:rPr>
      </w:pPr>
      <w:r>
        <w:rPr>
          <w:rFonts w:hint="eastAsia" w:cs="宋体" w:asciiTheme="minorEastAsia" w:hAnsiTheme="minorEastAsia" w:eastAsiaTheme="minorEastAsia"/>
          <w:color w:val="auto"/>
          <w:sz w:val="24"/>
          <w:highlight w:val="none"/>
        </w:rPr>
        <w:t>第三章  购销合同</w:t>
      </w:r>
    </w:p>
    <w:p>
      <w:pPr>
        <w:keepNext w:val="0"/>
        <w:keepLines w:val="0"/>
        <w:pageBreakBefore w:val="0"/>
        <w:widowControl/>
        <w:kinsoku/>
        <w:wordWrap/>
        <w:overflowPunct/>
        <w:topLinePunct w:val="0"/>
        <w:autoSpaceDE/>
        <w:autoSpaceDN/>
        <w:bidi w:val="0"/>
        <w:adjustRightInd/>
        <w:snapToGrid/>
        <w:spacing w:beforeLines="50" w:line="400" w:lineRule="exact"/>
        <w:ind w:firstLine="480" w:firstLineChars="200"/>
        <w:contextualSpacing/>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第四章  物资技术资料</w:t>
      </w:r>
    </w:p>
    <w:p>
      <w:pPr>
        <w:keepNext w:val="0"/>
        <w:keepLines w:val="0"/>
        <w:pageBreakBefore w:val="0"/>
        <w:widowControl/>
        <w:kinsoku/>
        <w:wordWrap/>
        <w:overflowPunct/>
        <w:topLinePunct w:val="0"/>
        <w:autoSpaceDE/>
        <w:autoSpaceDN/>
        <w:bidi w:val="0"/>
        <w:adjustRightInd/>
        <w:snapToGrid/>
        <w:spacing w:beforeLines="50" w:line="400" w:lineRule="exact"/>
        <w:ind w:firstLine="480" w:firstLineChars="200"/>
        <w:contextualSpacing/>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第五章  投标文件格式</w:t>
      </w:r>
    </w:p>
    <w:p>
      <w:pPr>
        <w:widowControl/>
        <w:spacing w:beforeLines="50" w:line="40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除上述外，由招标代理机构或招标人直接发出的修改或补充文件也应作为本招标文件的组成部分。</w:t>
      </w:r>
    </w:p>
    <w:p>
      <w:pPr>
        <w:widowControl/>
        <w:spacing w:beforeLines="50" w:line="400" w:lineRule="exact"/>
        <w:ind w:firstLine="482" w:firstLineChars="200"/>
        <w:contextualSpacing/>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（二）招标文件的澄清</w:t>
      </w:r>
    </w:p>
    <w:p>
      <w:pPr>
        <w:widowControl/>
        <w:spacing w:beforeLines="50" w:line="40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人对招标文件如有疑点要求澄清，应在投标截止期之前以书面形式通知招标代理机构，招标代理机构对投标人的澄清要求均以书面形式予以答复，同时将书面答复发给每个购买招标文件的投标人（答复中不包括问题的来源）。</w:t>
      </w:r>
    </w:p>
    <w:p>
      <w:pPr>
        <w:widowControl/>
        <w:spacing w:beforeLines="50" w:line="40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澄清的流程：1）制作澄清问题文件，标明顺序（例如“澄清问题*号”)、投标单位、负责人签字。2）递交澄清文件（纸质版和电子版〕，纸质文件以传真的形式发送，同时电子版发送到投标联系人指定的邮箱。3）经招标人确认后，招标代理机构将澄清回复统一发送给所有投标人。</w:t>
      </w:r>
    </w:p>
    <w:p>
      <w:pPr>
        <w:widowControl/>
        <w:spacing w:beforeLines="50" w:line="40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投标人对招标文件所做出的推论、解释和结论，招标人概不负责。投标人由于对招标文件的任何推论、误解或其它原因所造成的后果，均由投标人负责。</w:t>
      </w:r>
    </w:p>
    <w:p>
      <w:pPr>
        <w:widowControl/>
        <w:spacing w:beforeLines="50" w:line="40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如有必要，招标人将组织澄清会，邀请所有投标人参加。具体时间地点另行通知。</w:t>
      </w:r>
    </w:p>
    <w:p>
      <w:pPr>
        <w:widowControl/>
        <w:spacing w:beforeLines="50" w:line="400" w:lineRule="exact"/>
        <w:ind w:firstLine="482" w:firstLineChars="200"/>
        <w:contextualSpacing/>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（三）招标文件的修改</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招标人对招标文件的修改将以书面形式通知并委托招标代理机构转发所有投标人，投标人在收到书面通知后应立即以</w:t>
      </w:r>
      <w:r>
        <w:rPr>
          <w:rFonts w:hint="eastAsia" w:cs="宋体" w:asciiTheme="minorEastAsia" w:hAnsiTheme="minorEastAsia" w:eastAsiaTheme="minorEastAsia"/>
          <w:color w:val="auto"/>
          <w:sz w:val="24"/>
          <w:lang w:eastAsia="zh-CN"/>
        </w:rPr>
        <w:t>邮箱</w:t>
      </w:r>
      <w:r>
        <w:rPr>
          <w:rFonts w:hint="eastAsia" w:cs="宋体" w:asciiTheme="minorEastAsia" w:hAnsiTheme="minorEastAsia" w:eastAsiaTheme="minorEastAsia"/>
          <w:color w:val="auto"/>
          <w:sz w:val="24"/>
        </w:rPr>
        <w:t>或传真的形式回复招标代理机构予以确认。</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招标文件的修改将构成招标文件的一部分，与招标文件具有同等效力，对招标人、投标人和招标代理机构都具有约束力。</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招标人可以自行决定延长投标截止日期，招标代理机构应以书面形式通知所有投标人。</w:t>
      </w:r>
    </w:p>
    <w:p>
      <w:pPr>
        <w:widowControl/>
        <w:spacing w:beforeLines="50" w:line="400" w:lineRule="exact"/>
        <w:ind w:firstLine="482" w:firstLineChars="200"/>
        <w:contextualSpacing/>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（四）矛盾歧义解释</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本次招标的最终解释权归招标人,招标文件的澄清、修改或补充文件的内容均以书面形式明确的内容为准。 </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招标文件的澄清、修改或补充文件在解释顺序方面优先于该类文件之前的文件。</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招标文件未做须知明示，而又有相关法律、法规规定的，招标代理机构对此所做解释以相关的法律、法规的规定为依据。</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对于本招标文件中出现的冲突条款或内容，投标人须向招标人要求澄清。</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若投标人没有按招标文件的规定对招标文件提出异议，则视为投标人同意及接受招标文件之全部内容及条款。</w:t>
      </w:r>
    </w:p>
    <w:p>
      <w:pPr>
        <w:widowControl/>
        <w:spacing w:beforeLines="50" w:line="400" w:lineRule="exact"/>
        <w:ind w:firstLine="482" w:firstLineChars="200"/>
        <w:contextualSpacing/>
        <w:outlineLvl w:val="1"/>
        <w:rPr>
          <w:rFonts w:cs="宋体" w:asciiTheme="minorEastAsia" w:hAnsiTheme="minorEastAsia" w:eastAsiaTheme="minorEastAsia"/>
          <w:b/>
          <w:bCs/>
          <w:color w:val="auto"/>
          <w:sz w:val="24"/>
        </w:rPr>
      </w:pPr>
      <w:bookmarkStart w:id="20" w:name="_Toc26103"/>
      <w:bookmarkStart w:id="21" w:name="_Toc4490"/>
      <w:bookmarkStart w:id="22" w:name="_Toc10361"/>
      <w:bookmarkStart w:id="23" w:name="_Toc4228"/>
      <w:r>
        <w:rPr>
          <w:rFonts w:hint="eastAsia" w:cs="宋体" w:asciiTheme="minorEastAsia" w:hAnsiTheme="minorEastAsia" w:eastAsiaTheme="minorEastAsia"/>
          <w:b/>
          <w:bCs/>
          <w:color w:val="auto"/>
          <w:sz w:val="24"/>
        </w:rPr>
        <w:t>四、实施合同</w:t>
      </w:r>
      <w:bookmarkEnd w:id="20"/>
      <w:bookmarkEnd w:id="21"/>
      <w:bookmarkEnd w:id="22"/>
      <w:bookmarkEnd w:id="23"/>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本招标文件中的“第三章 </w:t>
      </w:r>
      <w:r>
        <w:rPr>
          <w:rFonts w:hint="eastAsia" w:cs="宋体" w:asciiTheme="minorEastAsia" w:hAnsiTheme="minorEastAsia" w:eastAsiaTheme="minorEastAsia"/>
          <w:color w:val="auto"/>
          <w:sz w:val="24"/>
          <w:lang w:val="en-US" w:eastAsia="zh-CN"/>
        </w:rPr>
        <w:t>购销</w:t>
      </w:r>
      <w:r>
        <w:rPr>
          <w:rFonts w:hint="eastAsia" w:cs="宋体" w:asciiTheme="minorEastAsia" w:hAnsiTheme="minorEastAsia" w:eastAsiaTheme="minorEastAsia"/>
          <w:color w:val="auto"/>
          <w:sz w:val="24"/>
        </w:rPr>
        <w:t>合同”将作为未来合同谈判及签署的依据。采购合同内容应包括招标人将要和中标人达成一致的商务条款、中标人的工作范围和责任。</w:t>
      </w:r>
    </w:p>
    <w:p>
      <w:pPr>
        <w:widowControl/>
        <w:spacing w:beforeLines="50" w:line="400" w:lineRule="exact"/>
        <w:ind w:firstLine="482" w:firstLineChars="200"/>
        <w:contextualSpacing/>
        <w:outlineLvl w:val="1"/>
        <w:rPr>
          <w:rFonts w:cs="宋体" w:asciiTheme="minorEastAsia" w:hAnsiTheme="minorEastAsia" w:eastAsiaTheme="minorEastAsia"/>
          <w:b/>
          <w:bCs/>
          <w:color w:val="auto"/>
          <w:sz w:val="24"/>
        </w:rPr>
      </w:pPr>
      <w:bookmarkStart w:id="24" w:name="_Toc12081"/>
      <w:bookmarkStart w:id="25" w:name="_Toc28580"/>
      <w:bookmarkStart w:id="26" w:name="_Toc863"/>
      <w:bookmarkStart w:id="27" w:name="_Toc19273"/>
      <w:r>
        <w:rPr>
          <w:rFonts w:hint="eastAsia" w:cs="宋体" w:asciiTheme="minorEastAsia" w:hAnsiTheme="minorEastAsia" w:eastAsiaTheme="minorEastAsia"/>
          <w:b/>
          <w:bCs/>
          <w:color w:val="auto"/>
          <w:sz w:val="24"/>
        </w:rPr>
        <w:t>五、招标文件的核查</w:t>
      </w:r>
      <w:bookmarkEnd w:id="24"/>
      <w:bookmarkEnd w:id="25"/>
      <w:bookmarkEnd w:id="26"/>
      <w:bookmarkEnd w:id="27"/>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投标人在其认为本招标文件中存在任何问题、遗漏，以至错误时，有责任通知招标人，要求招标人对此做出解释或澄清。</w:t>
      </w:r>
    </w:p>
    <w:p>
      <w:pPr>
        <w:widowControl/>
        <w:spacing w:beforeLines="50" w:line="400" w:lineRule="exact"/>
        <w:ind w:firstLine="482" w:firstLineChars="200"/>
        <w:contextualSpacing/>
        <w:outlineLvl w:val="1"/>
        <w:rPr>
          <w:rFonts w:cs="宋体" w:asciiTheme="minorEastAsia" w:hAnsiTheme="minorEastAsia" w:eastAsiaTheme="minorEastAsia"/>
          <w:b/>
          <w:bCs/>
          <w:color w:val="auto"/>
          <w:sz w:val="24"/>
        </w:rPr>
      </w:pPr>
      <w:bookmarkStart w:id="28" w:name="_Toc28065"/>
      <w:bookmarkStart w:id="29" w:name="_Toc5936"/>
      <w:bookmarkStart w:id="30" w:name="_Toc24593"/>
      <w:bookmarkStart w:id="31" w:name="_Toc15725"/>
      <w:r>
        <w:rPr>
          <w:rFonts w:hint="eastAsia" w:cs="宋体" w:asciiTheme="minorEastAsia" w:hAnsiTheme="minorEastAsia" w:eastAsiaTheme="minorEastAsia"/>
          <w:b/>
          <w:bCs/>
          <w:color w:val="auto"/>
          <w:sz w:val="24"/>
        </w:rPr>
        <w:t>六、投标文件要求</w:t>
      </w:r>
      <w:bookmarkEnd w:id="28"/>
      <w:bookmarkEnd w:id="29"/>
      <w:bookmarkEnd w:id="30"/>
      <w:bookmarkEnd w:id="31"/>
    </w:p>
    <w:p>
      <w:pPr>
        <w:widowControl/>
        <w:spacing w:beforeLines="50" w:line="400" w:lineRule="exact"/>
        <w:ind w:firstLine="482" w:firstLineChars="200"/>
        <w:contextualSpacing/>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（一）编制要求</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应认真阅读招标文件中所有的事项、格式、条款和规范等要求，按要求编制投标文件。未按要求提交全部资料或者投标文件没有对招标文件的要求做出实质性响应，评标委员会有权据此对其做无效投标处理。</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投标文件所提供的全部数据必须真实可靠。若投标文件填报的内容数据不详，或提供了虚假数据，评标委员会有权据此对其做无效报价处理。</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投标人提交的投标文件应当使用“第五章 投标文件格式”中所提供的投标文件全部内容及格式（可以相同格式扩展或另行编写，但不得删减内容或与要求的内容相悖），以A4纸大小为标准装订成册并自编目录及页码。除投标文件封面以外，每页都要在底部编制页码，投标文件的页码要连续，不能缺少也不可重复，其目录与页码指向应一一对应。投标文件不得为活页装订。由于编排混乱导致投标文件被误读或查找不到而被视为无效报价等不利后果由投标人自行承担。</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在投标文件及相关文件的签订、履行、通知等事项书面文件中的单位盖章、印章、公章等处均仅指与当事人名称全称相一致的标准公章，不得使用其他形式（如带有“专用章”、“合同章”、“财务章”、“业务章”等字样）的印章。</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未提供参考格式的，投标人自行设计表格及编写相关内容；投标文件中的复印件材料应加盖投标人公章。</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应对本项目的商务条款响应情况进行说明，若有偏差须在《商务偏离表》中予以说明；若没有，应注明“无偏离”字样。若没有填写《商务偏离表》，即视为投标人声明其完全响应招标文件的商务条款；但评标委员会有权据此就商务标书中实际不响应部分作出否决投标的决定。</w:t>
      </w:r>
    </w:p>
    <w:p>
      <w:pPr>
        <w:widowControl/>
        <w:spacing w:beforeLines="50" w:line="400" w:lineRule="exact"/>
        <w:ind w:firstLine="482" w:firstLineChars="200"/>
        <w:contextualSpacing/>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 xml:space="preserve">（二）投标文件应包括以下内容 </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商务、报价投标文件</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商务、报价投标文件应包含投标报价表、投标函、授权委托书、投标保证金汇款底单以及投标单位相关证件、资质证书等内容。编制投标文件时，请按照本招标文件第五章格式要求进行编写。</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商务、报价投标文件应提供一份正本，</w:t>
      </w:r>
      <w:r>
        <w:rPr>
          <w:rFonts w:hint="eastAsia" w:cs="宋体" w:asciiTheme="minorEastAsia" w:hAnsiTheme="minorEastAsia" w:eastAsiaTheme="minorEastAsia"/>
          <w:color w:val="auto"/>
          <w:sz w:val="24"/>
          <w:lang w:val="en-US" w:eastAsia="zh-CN"/>
        </w:rPr>
        <w:t>两</w:t>
      </w:r>
      <w:r>
        <w:rPr>
          <w:rFonts w:hint="eastAsia" w:cs="宋体" w:asciiTheme="minorEastAsia" w:hAnsiTheme="minorEastAsia" w:eastAsiaTheme="minorEastAsia"/>
          <w:color w:val="auto"/>
          <w:sz w:val="24"/>
        </w:rPr>
        <w:t>份副本以及一份电子版本，并在正本上注明“正本”的字样，在副本上注明“副本”的字样。正本和副本中的内容如有不一致，以正本内容为准。</w:t>
      </w:r>
    </w:p>
    <w:p>
      <w:pPr>
        <w:widowControl/>
        <w:spacing w:beforeLines="50" w:line="400" w:lineRule="exact"/>
        <w:ind w:firstLine="482"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（三）投标文件的封装</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文件应单独封装，包装外应标明“商务、报价投标文件”的字样。应单独编制、封装成册。另须在包装外标明招标名称、招标编号、投标人名称，并加盖投标人的公章、并注明“请勿在【投标截止时间】之前启封”的字样。 密封处加盖公章或骑缝章。</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电子版投标文件单独放入一个信封中，放入投标文件正本中。电子版投标文件应标明投标单位名称以及投标文件名称。</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如果投标文件未按要求装订和加写标记及密封，招标代理机构对误投或过早启封概不负责。对由此造成提前开封的投标文件，招标代理机构有权予以拒绝，并退回投标人。</w:t>
      </w:r>
    </w:p>
    <w:p>
      <w:pPr>
        <w:widowControl/>
        <w:spacing w:beforeLines="50" w:line="400" w:lineRule="exact"/>
        <w:ind w:firstLine="482"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（四）投标文件的签署</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投标人的法定代表人或其授权代表应在投标文件内附上书面的法定代表证明或法人授权委托书以确认授权代表签字的有效性。</w:t>
      </w:r>
    </w:p>
    <w:p>
      <w:pPr>
        <w:widowControl/>
        <w:spacing w:beforeLines="50" w:line="400" w:lineRule="exact"/>
        <w:ind w:firstLine="482"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（五）投标语言及计量单位</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投标人提交的商务标书和技术标书都应使用中文书写。除另有规定外，投标文件使用的度量衡单位，均釆用中华人民共和国法定计量单位。</w:t>
      </w:r>
    </w:p>
    <w:p>
      <w:pPr>
        <w:widowControl/>
        <w:spacing w:beforeLines="50" w:line="400" w:lineRule="exact"/>
        <w:ind w:firstLine="482" w:firstLineChars="200"/>
        <w:contextualSpacing/>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（六）投标文件的补充、修改或撤回</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投标人在递交投标文件后，在规定的投标截止时间前，可以以书面形式补充修改或撤回已提交的投标文件，并以书面形式通知招标代理机构，修改或撤回其投标文件。补充、修改的内容为其投标文件的组成部分。</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投标人对投标文件的补充、修改，应按招标文件的规定进行编制、签署、密封和标记，同时还应在封套上加注“修改”字样。修改文件同样必须在投标截止时间前送达招标代理机构。</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在投标截止时间之后，投标人不得对其投标文件做任何实质性修改。</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在投标截止时间至招标代理机构在招标文件中规定的投标有效期期满之间的这段时间内，投标人不得撤回其投标文件。</w:t>
      </w:r>
    </w:p>
    <w:p>
      <w:pPr>
        <w:widowControl/>
        <w:spacing w:beforeLines="50" w:line="400" w:lineRule="exact"/>
        <w:ind w:firstLine="482" w:firstLineChars="200"/>
        <w:contextualSpacing/>
        <w:outlineLvl w:val="1"/>
        <w:rPr>
          <w:rFonts w:cs="宋体" w:asciiTheme="minorEastAsia" w:hAnsiTheme="minorEastAsia" w:eastAsiaTheme="minorEastAsia"/>
          <w:b/>
          <w:bCs/>
          <w:color w:val="auto"/>
          <w:sz w:val="24"/>
        </w:rPr>
      </w:pPr>
      <w:bookmarkStart w:id="32" w:name="_Toc23011"/>
      <w:bookmarkStart w:id="33" w:name="_Toc31662"/>
      <w:bookmarkStart w:id="34" w:name="_Toc8401"/>
      <w:bookmarkStart w:id="35" w:name="_Toc2256"/>
      <w:bookmarkStart w:id="36" w:name="_Toc4471"/>
      <w:bookmarkStart w:id="37" w:name="_Toc1737"/>
      <w:bookmarkStart w:id="38" w:name="_Toc17694"/>
      <w:bookmarkStart w:id="39" w:name="_Toc2922"/>
      <w:bookmarkStart w:id="40" w:name="_Toc23315"/>
      <w:bookmarkStart w:id="41" w:name="_Toc2"/>
      <w:bookmarkStart w:id="42" w:name="_Toc8212"/>
      <w:bookmarkStart w:id="43" w:name="_Toc11808"/>
      <w:bookmarkStart w:id="44" w:name="_Toc19639"/>
      <w:bookmarkStart w:id="45" w:name="_Toc14190"/>
      <w:bookmarkStart w:id="46" w:name="_Toc21559"/>
      <w:bookmarkStart w:id="47" w:name="_Toc6881"/>
      <w:bookmarkStart w:id="48" w:name="_Toc26682"/>
      <w:bookmarkStart w:id="49" w:name="_Toc20736"/>
      <w:r>
        <w:rPr>
          <w:rFonts w:hint="eastAsia" w:cs="宋体" w:asciiTheme="minorEastAsia" w:hAnsiTheme="minorEastAsia" w:eastAsiaTheme="minorEastAsia"/>
          <w:b/>
          <w:bCs/>
          <w:color w:val="auto"/>
          <w:sz w:val="24"/>
        </w:rPr>
        <w:t>七、投标报价说明</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widowControl/>
        <w:spacing w:beforeLines="50" w:line="400" w:lineRule="exact"/>
        <w:ind w:firstLine="482" w:firstLineChars="200"/>
        <w:contextualSpacing/>
        <w:rPr>
          <w:rFonts w:cs="宋体" w:asciiTheme="minorEastAsia" w:hAnsiTheme="minorEastAsia" w:eastAsiaTheme="minorEastAsia"/>
          <w:b/>
          <w:bCs/>
          <w:color w:val="auto"/>
          <w:kern w:val="0"/>
          <w:sz w:val="24"/>
        </w:rPr>
      </w:pPr>
      <w:r>
        <w:rPr>
          <w:rFonts w:hint="eastAsia" w:cs="宋体" w:asciiTheme="minorEastAsia" w:hAnsiTheme="minorEastAsia" w:eastAsiaTheme="minorEastAsia"/>
          <w:b/>
          <w:bCs/>
          <w:color w:val="auto"/>
          <w:kern w:val="0"/>
          <w:sz w:val="24"/>
          <w:u w:val="single"/>
        </w:rPr>
        <w:t>按照第五章投标文件格式中</w:t>
      </w:r>
      <w:r>
        <w:rPr>
          <w:rFonts w:hint="eastAsia" w:cs="宋体" w:asciiTheme="minorEastAsia" w:hAnsiTheme="minorEastAsia" w:eastAsiaTheme="minorEastAsia"/>
          <w:b/>
          <w:bCs/>
          <w:color w:val="auto"/>
          <w:kern w:val="0"/>
          <w:sz w:val="24"/>
          <w:u w:val="single"/>
          <w:lang w:val="en-GB"/>
        </w:rPr>
        <w:t>附件</w:t>
      </w:r>
      <w:r>
        <w:rPr>
          <w:rFonts w:hint="eastAsia" w:cs="宋体" w:asciiTheme="minorEastAsia" w:hAnsiTheme="minorEastAsia" w:eastAsiaTheme="minorEastAsia"/>
          <w:b/>
          <w:bCs/>
          <w:color w:val="auto"/>
          <w:kern w:val="0"/>
          <w:sz w:val="24"/>
          <w:u w:val="single"/>
        </w:rPr>
        <w:t>3</w:t>
      </w:r>
      <w:r>
        <w:rPr>
          <w:rFonts w:hint="eastAsia" w:cs="宋体" w:asciiTheme="minorEastAsia" w:hAnsiTheme="minorEastAsia" w:eastAsiaTheme="minorEastAsia"/>
          <w:b/>
          <w:bCs/>
          <w:color w:val="auto"/>
          <w:kern w:val="0"/>
          <w:sz w:val="24"/>
          <w:u w:val="single"/>
          <w:lang w:val="en-GB"/>
        </w:rPr>
        <w:t xml:space="preserve">  </w:t>
      </w:r>
      <w:r>
        <w:rPr>
          <w:rFonts w:hint="eastAsia" w:cs="宋体" w:asciiTheme="minorEastAsia" w:hAnsiTheme="minorEastAsia" w:eastAsiaTheme="minorEastAsia"/>
          <w:b/>
          <w:bCs/>
          <w:color w:val="auto"/>
          <w:kern w:val="0"/>
          <w:sz w:val="24"/>
          <w:u w:val="single"/>
          <w:lang w:val="en-US" w:eastAsia="zh-CN"/>
        </w:rPr>
        <w:t>竞价</w:t>
      </w:r>
      <w:r>
        <w:rPr>
          <w:rFonts w:hint="eastAsia" w:cs="宋体" w:asciiTheme="minorEastAsia" w:hAnsiTheme="minorEastAsia" w:eastAsiaTheme="minorEastAsia"/>
          <w:b/>
          <w:bCs/>
          <w:color w:val="auto"/>
          <w:kern w:val="0"/>
          <w:sz w:val="24"/>
          <w:u w:val="single"/>
          <w:lang w:val="en-GB"/>
        </w:rPr>
        <w:t>表的格式要求填报。</w:t>
      </w:r>
    </w:p>
    <w:p>
      <w:pPr>
        <w:widowControl/>
        <w:spacing w:beforeLines="50" w:line="400" w:lineRule="exact"/>
        <w:ind w:firstLine="482" w:firstLineChars="200"/>
        <w:contextualSpacing/>
        <w:outlineLvl w:val="1"/>
        <w:rPr>
          <w:rFonts w:cs="宋体" w:asciiTheme="minorEastAsia" w:hAnsiTheme="minorEastAsia" w:eastAsiaTheme="minorEastAsia"/>
          <w:b/>
          <w:bCs/>
          <w:color w:val="auto"/>
          <w:sz w:val="24"/>
        </w:rPr>
      </w:pPr>
      <w:bookmarkStart w:id="50" w:name="_Toc31919"/>
      <w:bookmarkStart w:id="51" w:name="_Toc8634"/>
      <w:bookmarkStart w:id="52" w:name="_Toc11035"/>
      <w:bookmarkStart w:id="53" w:name="_Toc16336"/>
      <w:bookmarkStart w:id="54" w:name="_Toc14052"/>
      <w:bookmarkStart w:id="55" w:name="_Toc7565"/>
      <w:bookmarkStart w:id="56" w:name="_Toc20686"/>
      <w:bookmarkStart w:id="57" w:name="_Toc373"/>
      <w:bookmarkStart w:id="58" w:name="_Toc16729"/>
      <w:bookmarkStart w:id="59" w:name="_Toc11816"/>
      <w:bookmarkStart w:id="60" w:name="_Toc3397"/>
      <w:bookmarkStart w:id="61" w:name="_Toc19821"/>
      <w:bookmarkStart w:id="62" w:name="_Toc21649"/>
      <w:bookmarkStart w:id="63" w:name="_Toc30069"/>
      <w:bookmarkStart w:id="64" w:name="_Toc28127"/>
      <w:bookmarkStart w:id="65" w:name="_Toc4254"/>
      <w:bookmarkStart w:id="66" w:name="_Toc28134"/>
      <w:bookmarkStart w:id="67" w:name="_Toc14378"/>
      <w:r>
        <w:rPr>
          <w:rFonts w:hint="eastAsia" w:cs="宋体" w:asciiTheme="minorEastAsia" w:hAnsiTheme="minorEastAsia" w:eastAsiaTheme="minorEastAsia"/>
          <w:b/>
          <w:bCs/>
          <w:color w:val="auto"/>
          <w:sz w:val="24"/>
        </w:rPr>
        <w:t>八、与招标文件的一致性</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投标人提交的投标文件应完全符合招标文件所规定的全部要求。投标人应在投标文件中声明其投标文件完全符合招标文件的要求。投标文件对招标文件中的内容和条款未提出异议的，均被视为接受或同意。</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任何与招标文件的偏差，必须按照招标文件要求在商务偏离表和技术偏离表中列明。</w:t>
      </w:r>
    </w:p>
    <w:p>
      <w:pPr>
        <w:widowControl/>
        <w:spacing w:beforeLines="50" w:line="400" w:lineRule="exact"/>
        <w:ind w:firstLine="482" w:firstLineChars="200"/>
        <w:contextualSpacing/>
        <w:outlineLvl w:val="1"/>
        <w:rPr>
          <w:rFonts w:cs="宋体" w:asciiTheme="minorEastAsia" w:hAnsiTheme="minorEastAsia" w:eastAsiaTheme="minorEastAsia"/>
          <w:b/>
          <w:bCs/>
          <w:color w:val="auto"/>
          <w:sz w:val="24"/>
        </w:rPr>
      </w:pPr>
      <w:bookmarkStart w:id="68" w:name="_Toc27232"/>
      <w:bookmarkStart w:id="69" w:name="_Toc4861"/>
      <w:bookmarkStart w:id="70" w:name="_Toc22016"/>
      <w:bookmarkStart w:id="71" w:name="_Toc31043"/>
      <w:bookmarkStart w:id="72" w:name="_Toc27833"/>
      <w:bookmarkStart w:id="73" w:name="_Toc2746"/>
      <w:bookmarkStart w:id="74" w:name="_Toc25040"/>
      <w:bookmarkStart w:id="75" w:name="_Toc11971"/>
      <w:bookmarkStart w:id="76" w:name="_Toc17778"/>
      <w:bookmarkStart w:id="77" w:name="_Toc5479"/>
      <w:bookmarkStart w:id="78" w:name="_Toc28874"/>
      <w:bookmarkStart w:id="79" w:name="_Toc7733"/>
      <w:bookmarkStart w:id="80" w:name="_Toc21978"/>
      <w:bookmarkStart w:id="81" w:name="_Toc9804"/>
      <w:bookmarkStart w:id="82" w:name="_Toc3418"/>
      <w:bookmarkStart w:id="83" w:name="_Toc24197"/>
      <w:bookmarkStart w:id="84" w:name="_Toc5558"/>
      <w:bookmarkStart w:id="85" w:name="_Toc26483"/>
      <w:r>
        <w:rPr>
          <w:rFonts w:hint="eastAsia" w:cs="宋体" w:asciiTheme="minorEastAsia" w:hAnsiTheme="minorEastAsia" w:eastAsiaTheme="minorEastAsia"/>
          <w:b/>
          <w:bCs/>
          <w:color w:val="auto"/>
          <w:sz w:val="24"/>
        </w:rPr>
        <w:t>九、投标有效期</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投标文件应是对投标人有约束力的、不可撤销的，并且从投标截止之日起90天内持续有效。</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在此期间，投标人不得收回或撤销投标文件中的任何声明、条款、条件和价格。</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招标人可在投标文件有效期内以书面形式向投标人提出延长投标文件有效期的要求，对此投标人须以书面形式予以答复。如果投标人拒绝延长投标文件有效期的要求，则其投标文件无效。如果同意延期，投标人不得对投标文件做出任何修改。</w:t>
      </w:r>
    </w:p>
    <w:p>
      <w:pPr>
        <w:widowControl/>
        <w:spacing w:beforeLines="50" w:line="400" w:lineRule="exact"/>
        <w:ind w:firstLine="482" w:firstLineChars="200"/>
        <w:contextualSpacing/>
        <w:outlineLvl w:val="1"/>
        <w:rPr>
          <w:rFonts w:cs="宋体" w:asciiTheme="minorEastAsia" w:hAnsiTheme="minorEastAsia" w:eastAsiaTheme="minorEastAsia"/>
          <w:b/>
          <w:bCs/>
          <w:color w:val="auto"/>
          <w:sz w:val="24"/>
        </w:rPr>
      </w:pPr>
      <w:bookmarkStart w:id="86" w:name="_Toc12052"/>
      <w:bookmarkStart w:id="87" w:name="_Toc20926"/>
      <w:bookmarkStart w:id="88" w:name="_Toc17454"/>
      <w:bookmarkStart w:id="89" w:name="_Toc6640"/>
      <w:bookmarkStart w:id="90" w:name="_Toc13203"/>
      <w:bookmarkStart w:id="91" w:name="_Toc29698"/>
      <w:bookmarkStart w:id="92" w:name="_Toc22527"/>
      <w:bookmarkStart w:id="93" w:name="_Toc30532"/>
      <w:bookmarkStart w:id="94" w:name="_Toc30636"/>
      <w:bookmarkStart w:id="95" w:name="_Toc3563"/>
      <w:bookmarkStart w:id="96" w:name="_Toc9529"/>
      <w:bookmarkStart w:id="97" w:name="_Toc12879"/>
      <w:bookmarkStart w:id="98" w:name="_Toc32177"/>
      <w:bookmarkStart w:id="99" w:name="_Toc7499"/>
      <w:bookmarkStart w:id="100" w:name="_Toc16912"/>
      <w:bookmarkStart w:id="101" w:name="_Toc31319"/>
      <w:bookmarkStart w:id="102" w:name="_Toc5186"/>
      <w:bookmarkStart w:id="103" w:name="_Toc16787"/>
      <w:r>
        <w:rPr>
          <w:rFonts w:hint="eastAsia" w:cs="宋体" w:asciiTheme="minorEastAsia" w:hAnsiTheme="minorEastAsia" w:eastAsiaTheme="minorEastAsia"/>
          <w:b/>
          <w:bCs/>
          <w:color w:val="auto"/>
          <w:sz w:val="24"/>
        </w:rPr>
        <w:t>十、投标保证金</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widowControl/>
        <w:spacing w:beforeLines="50" w:line="400" w:lineRule="exact"/>
        <w:ind w:firstLine="480" w:firstLineChars="200"/>
        <w:contextualSpacing/>
        <w:rPr>
          <w:rFonts w:cs="宋体" w:asciiTheme="minorEastAsia" w:hAnsiTheme="minorEastAsia" w:eastAsiaTheme="minorEastAsia"/>
          <w:b/>
          <w:bCs/>
          <w:color w:val="auto"/>
          <w:sz w:val="24"/>
          <w:u w:val="single"/>
        </w:rPr>
      </w:pPr>
      <w:r>
        <w:rPr>
          <w:rFonts w:hint="eastAsia" w:cs="宋体" w:asciiTheme="minorEastAsia" w:hAnsiTheme="minorEastAsia" w:eastAsiaTheme="minorEastAsia"/>
          <w:color w:val="auto"/>
          <w:sz w:val="24"/>
        </w:rPr>
        <w:t>（一）投标人应以自己的名义提交“投标人须知前附表”中规定数额的投标保证金，并作为其投标的一部分。在投标文件中提交投标保证金付款凭证的复印件，供唱标用；并在汇款单据上注明招标编号与“投标保证金”字样，否则产生的不良后果，由投标人负责。</w:t>
      </w:r>
      <w:r>
        <w:rPr>
          <w:rFonts w:hint="eastAsia" w:cs="宋体" w:asciiTheme="minorEastAsia" w:hAnsiTheme="minorEastAsia" w:eastAsiaTheme="minorEastAsia"/>
          <w:b/>
          <w:bCs/>
          <w:color w:val="auto"/>
          <w:sz w:val="24"/>
          <w:u w:val="single"/>
        </w:rPr>
        <w:t>投标保证金以到账时间为准；投标保证金应在投标截止时间至少3天前电汇或转帐形式汇入招标代理机构账户，以避免无效投标。</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（二）投标保证金是为了保护招标机构和项目单位免遭因投标人的行为而蒙受损失。招标机构和项目单位在因投标人的行为受到损害时可根据本须知的规定没收投标人的投标保证金。</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（三）凡没有根据招标文件的规定提交投标保证金的投标，将被视为非响应性投标，其投标将被拒绝。</w:t>
      </w:r>
    </w:p>
    <w:p>
      <w:pPr>
        <w:widowControl/>
        <w:spacing w:beforeLines="50" w:line="400" w:lineRule="exact"/>
        <w:ind w:firstLine="480" w:firstLineChars="200"/>
        <w:contextualSpacing/>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rPr>
        <w:t>（四）</w:t>
      </w:r>
      <w:r>
        <w:rPr>
          <w:rFonts w:hint="eastAsia" w:cs="宋体" w:asciiTheme="minorEastAsia" w:hAnsiTheme="minorEastAsia" w:eastAsiaTheme="minorEastAsia"/>
          <w:color w:val="auto"/>
          <w:sz w:val="24"/>
          <w:lang w:val="en-US" w:eastAsia="zh-CN"/>
        </w:rPr>
        <w:t>招标人与中标人签订合同后5天内，向中标人和未中标人的投标人退还投标保证金。</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（五）有下列任何情况发生时，投标保证金将被没收：</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1.投标人在招标文件中规定的投标有效期内撤回其投标；</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2</w:t>
      </w:r>
      <w:r>
        <w:rPr>
          <w:rFonts w:hint="eastAsia" w:cs="宋体" w:asciiTheme="minorEastAsia" w:hAnsiTheme="minorEastAsia" w:eastAsiaTheme="minorEastAsia"/>
          <w:color w:val="auto"/>
          <w:sz w:val="24"/>
        </w:rPr>
        <w:t>.中标人在规定期限内未能根据本须知规定签订合同；</w:t>
      </w:r>
    </w:p>
    <w:p>
      <w:pPr>
        <w:widowControl/>
        <w:spacing w:beforeLines="50" w:line="400" w:lineRule="exact"/>
        <w:ind w:firstLine="482" w:firstLineChars="200"/>
        <w:contextualSpacing/>
        <w:outlineLvl w:val="1"/>
        <w:rPr>
          <w:rFonts w:cs="宋体" w:asciiTheme="minorEastAsia" w:hAnsiTheme="minorEastAsia" w:eastAsiaTheme="minorEastAsia"/>
          <w:b/>
          <w:bCs/>
          <w:color w:val="auto"/>
          <w:sz w:val="24"/>
        </w:rPr>
      </w:pPr>
      <w:bookmarkStart w:id="104" w:name="_Toc15443"/>
      <w:bookmarkStart w:id="105" w:name="_Toc30105"/>
      <w:bookmarkStart w:id="106" w:name="_Toc10157"/>
      <w:bookmarkStart w:id="107" w:name="_Toc9366"/>
      <w:bookmarkStart w:id="108" w:name="_Toc28736"/>
      <w:bookmarkStart w:id="109" w:name="_Toc19558"/>
      <w:bookmarkStart w:id="110" w:name="_Toc17664"/>
      <w:bookmarkStart w:id="111" w:name="_Toc8540"/>
      <w:bookmarkStart w:id="112" w:name="_Toc924"/>
      <w:bookmarkStart w:id="113" w:name="_Toc24680"/>
      <w:bookmarkStart w:id="114" w:name="_Toc20845"/>
      <w:bookmarkStart w:id="115" w:name="_Toc30267"/>
      <w:bookmarkStart w:id="116" w:name="_Toc11649"/>
      <w:bookmarkStart w:id="117" w:name="_Toc9216"/>
      <w:bookmarkStart w:id="118" w:name="_Toc27713"/>
      <w:bookmarkStart w:id="119" w:name="_Toc2373"/>
      <w:bookmarkStart w:id="120" w:name="_Toc17397"/>
      <w:bookmarkStart w:id="121" w:name="_Toc10124"/>
      <w:r>
        <w:rPr>
          <w:rFonts w:hint="eastAsia" w:cs="宋体" w:asciiTheme="minorEastAsia" w:hAnsiTheme="minorEastAsia" w:eastAsiaTheme="minorEastAsia"/>
          <w:b/>
          <w:bCs/>
          <w:color w:val="auto"/>
          <w:sz w:val="24"/>
        </w:rPr>
        <w:t>十一、投标文件的完整性</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投标人应提供能证明其有能力完成招标文件所要求的全部工作的所有相关信息和资料。 若投标人提交的信息和资料不充分或未能按招标文件的要求提供信息和资料时，可导致投标否决。</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投标人的投标文件应涵盖招标文件中所要求的全部工作范围和内容。将工作的一部分排除在外或提交标书的不完整可导致投标否决。</w:t>
      </w:r>
    </w:p>
    <w:p>
      <w:pPr>
        <w:widowControl/>
        <w:spacing w:beforeLines="50" w:line="400" w:lineRule="exact"/>
        <w:ind w:firstLine="482" w:firstLineChars="200"/>
        <w:contextualSpacing/>
        <w:outlineLvl w:val="1"/>
        <w:rPr>
          <w:rFonts w:cs="宋体" w:asciiTheme="minorEastAsia" w:hAnsiTheme="minorEastAsia" w:eastAsiaTheme="minorEastAsia"/>
          <w:b/>
          <w:bCs/>
          <w:color w:val="auto"/>
          <w:sz w:val="24"/>
        </w:rPr>
      </w:pPr>
      <w:bookmarkStart w:id="122" w:name="_Toc30347"/>
      <w:bookmarkStart w:id="123" w:name="_Toc21600"/>
      <w:bookmarkStart w:id="124" w:name="_Toc4724"/>
      <w:bookmarkStart w:id="125" w:name="_Toc30676"/>
      <w:bookmarkStart w:id="126" w:name="_Toc24318"/>
      <w:bookmarkStart w:id="127" w:name="_Toc20597"/>
      <w:bookmarkStart w:id="128" w:name="_Toc2852"/>
      <w:bookmarkStart w:id="129" w:name="_Toc14829"/>
      <w:bookmarkStart w:id="130" w:name="_Toc22653"/>
      <w:bookmarkStart w:id="131" w:name="_Toc21091"/>
      <w:bookmarkStart w:id="132" w:name="_Toc18333"/>
      <w:bookmarkStart w:id="133" w:name="_Toc11990"/>
      <w:bookmarkStart w:id="134" w:name="_Toc9598"/>
      <w:bookmarkStart w:id="135" w:name="_Toc17567"/>
      <w:bookmarkStart w:id="136" w:name="_Toc26870"/>
      <w:bookmarkStart w:id="137" w:name="_Toc1143"/>
      <w:bookmarkStart w:id="138" w:name="_Toc213"/>
      <w:bookmarkStart w:id="139" w:name="_Toc3248"/>
      <w:r>
        <w:rPr>
          <w:rFonts w:hint="eastAsia" w:cs="宋体" w:asciiTheme="minorEastAsia" w:hAnsiTheme="minorEastAsia" w:eastAsiaTheme="minorEastAsia"/>
          <w:b/>
          <w:bCs/>
          <w:color w:val="auto"/>
          <w:sz w:val="24"/>
        </w:rPr>
        <w:t>十二、投标费用</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无论投标人是否中标，投标人发生的与投标有关的全部费用都应由投标人自行承担。招标人对投标人所发生的任何费用或任何损失不给予补偿。</w:t>
      </w:r>
    </w:p>
    <w:p>
      <w:pPr>
        <w:pStyle w:val="21"/>
        <w:keepNext w:val="0"/>
        <w:keepLines w:val="0"/>
        <w:pageBreakBefore w:val="0"/>
        <w:kinsoku/>
        <w:wordWrap/>
        <w:overflowPunct/>
        <w:topLinePunct w:val="0"/>
        <w:autoSpaceDE/>
        <w:autoSpaceDN/>
        <w:bidi w:val="0"/>
        <w:adjustRightInd/>
        <w:snapToGrid/>
        <w:spacing w:before="0" w:beforeLines="0" w:after="0" w:afterLines="0" w:line="360" w:lineRule="auto"/>
        <w:ind w:right="0" w:rightChars="0" w:firstLine="482" w:firstLineChars="200"/>
        <w:textAlignment w:val="auto"/>
        <w:outlineLvl w:val="1"/>
        <w:rPr>
          <w:rFonts w:hint="eastAsia" w:cs="宋体" w:asciiTheme="minorEastAsia" w:hAnsiTheme="minorEastAsia" w:eastAsiaTheme="minorEastAsia"/>
          <w:b/>
          <w:bCs/>
          <w:color w:val="auto"/>
          <w:kern w:val="2"/>
          <w:sz w:val="24"/>
          <w:szCs w:val="24"/>
          <w:lang w:val="en-US" w:eastAsia="zh-CN" w:bidi="ar-SA"/>
        </w:rPr>
      </w:pPr>
      <w:bookmarkStart w:id="140" w:name="_Toc21662"/>
      <w:bookmarkStart w:id="141" w:name="_Toc2804"/>
      <w:bookmarkStart w:id="142" w:name="_Toc1509"/>
      <w:bookmarkStart w:id="143" w:name="_Toc31056"/>
      <w:bookmarkStart w:id="144" w:name="_Toc30382"/>
      <w:bookmarkStart w:id="145" w:name="_Toc10599"/>
      <w:bookmarkStart w:id="146" w:name="_Toc31811"/>
      <w:bookmarkStart w:id="147" w:name="_Toc24003"/>
      <w:bookmarkStart w:id="148" w:name="_Toc24368"/>
      <w:bookmarkStart w:id="149" w:name="_Toc30575"/>
      <w:bookmarkStart w:id="150" w:name="_Toc23140"/>
      <w:bookmarkStart w:id="151" w:name="_Toc15711"/>
      <w:bookmarkStart w:id="152" w:name="_Toc547"/>
      <w:bookmarkStart w:id="153" w:name="_Toc10375"/>
      <w:bookmarkStart w:id="154" w:name="_Toc18822"/>
      <w:bookmarkStart w:id="155" w:name="_Toc19989"/>
      <w:bookmarkStart w:id="156" w:name="_Toc6516"/>
      <w:bookmarkStart w:id="157" w:name="_Toc24082"/>
      <w:bookmarkStart w:id="158" w:name="_Toc18252"/>
      <w:bookmarkStart w:id="159" w:name="_Toc28167"/>
      <w:bookmarkStart w:id="160" w:name="_Toc29198"/>
      <w:bookmarkStart w:id="161" w:name="_Toc27187"/>
      <w:bookmarkStart w:id="162" w:name="_Toc8924"/>
      <w:bookmarkStart w:id="163" w:name="_Toc16929"/>
      <w:r>
        <w:rPr>
          <w:rFonts w:hint="eastAsia" w:cs="宋体" w:asciiTheme="minorEastAsia" w:hAnsiTheme="minorEastAsia" w:eastAsiaTheme="minorEastAsia"/>
          <w:b/>
          <w:bCs/>
          <w:color w:val="auto"/>
          <w:kern w:val="2"/>
          <w:sz w:val="24"/>
          <w:szCs w:val="24"/>
          <w:lang w:val="en-US" w:eastAsia="zh-CN" w:bidi="ar-SA"/>
        </w:rPr>
        <w:t>十三.拒绝的权利</w:t>
      </w:r>
      <w:bookmarkEnd w:id="140"/>
      <w:bookmarkEnd w:id="141"/>
      <w:bookmarkEnd w:id="142"/>
      <w:bookmarkEnd w:id="143"/>
      <w:bookmarkEnd w:id="144"/>
      <w:bookmarkEnd w:id="145"/>
    </w:p>
    <w:p>
      <w:pPr>
        <w:pStyle w:val="41"/>
        <w:keepNext w:val="0"/>
        <w:keepLines w:val="0"/>
        <w:pageBreakBefore w:val="0"/>
        <w:shd w:val="clear" w:color="auto" w:fill="auto"/>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在授标之前任何时候，招标人有权接受或拒绝任何标书的整体或部分，或宣布终止招标，并无须向受影响的投标人承担任何责任，也无须将这样做的理由通知受影响的投标人。</w:t>
      </w:r>
    </w:p>
    <w:p>
      <w:pPr>
        <w:keepNext w:val="0"/>
        <w:keepLines w:val="0"/>
        <w:pageBreakBefore w:val="0"/>
        <w:widowControl/>
        <w:kinsoku/>
        <w:wordWrap/>
        <w:overflowPunct/>
        <w:topLinePunct w:val="0"/>
        <w:autoSpaceDE/>
        <w:autoSpaceDN/>
        <w:bidi w:val="0"/>
        <w:adjustRightInd/>
        <w:snapToGrid/>
        <w:spacing w:line="400" w:lineRule="exact"/>
        <w:ind w:firstLine="482" w:firstLineChars="200"/>
        <w:contextualSpacing/>
        <w:textAlignment w:val="auto"/>
        <w:outlineLvl w:val="1"/>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十</w:t>
      </w:r>
      <w:r>
        <w:rPr>
          <w:rFonts w:hint="eastAsia" w:cs="宋体" w:asciiTheme="minorEastAsia" w:hAnsiTheme="minorEastAsia" w:eastAsiaTheme="minorEastAsia"/>
          <w:b/>
          <w:bCs/>
          <w:color w:val="auto"/>
          <w:sz w:val="24"/>
          <w:lang w:val="en-US" w:eastAsia="zh-CN"/>
        </w:rPr>
        <w:t>四</w:t>
      </w:r>
      <w:r>
        <w:rPr>
          <w:rFonts w:hint="eastAsia" w:cs="宋体" w:asciiTheme="minorEastAsia" w:hAnsiTheme="minorEastAsia" w:eastAsiaTheme="minorEastAsia"/>
          <w:b/>
          <w:bCs/>
          <w:color w:val="auto"/>
          <w:sz w:val="24"/>
        </w:rPr>
        <w:t>、文件的所有权</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招标人拥有本招标文件的所有权。</w:t>
      </w:r>
    </w:p>
    <w:p>
      <w:pPr>
        <w:widowControl/>
        <w:spacing w:beforeLines="50" w:line="400" w:lineRule="exact"/>
        <w:ind w:firstLine="482" w:firstLineChars="200"/>
        <w:contextualSpacing/>
        <w:outlineLvl w:val="1"/>
        <w:rPr>
          <w:rFonts w:cs="宋体" w:asciiTheme="minorEastAsia" w:hAnsiTheme="minorEastAsia" w:eastAsiaTheme="minorEastAsia"/>
          <w:b/>
          <w:bCs/>
          <w:color w:val="auto"/>
          <w:sz w:val="24"/>
        </w:rPr>
      </w:pPr>
      <w:bookmarkStart w:id="164" w:name="_Toc12770"/>
      <w:bookmarkStart w:id="165" w:name="_Toc10356"/>
      <w:bookmarkStart w:id="166" w:name="_Toc8276"/>
      <w:bookmarkStart w:id="167" w:name="_Toc15367"/>
      <w:bookmarkStart w:id="168" w:name="_Toc26703"/>
      <w:bookmarkStart w:id="169" w:name="_Toc16156"/>
      <w:bookmarkStart w:id="170" w:name="_Toc25220"/>
      <w:bookmarkStart w:id="171" w:name="_Toc12405"/>
      <w:bookmarkStart w:id="172" w:name="_Toc27119"/>
      <w:bookmarkStart w:id="173" w:name="_Toc557"/>
      <w:bookmarkStart w:id="174" w:name="_Toc30212"/>
      <w:bookmarkStart w:id="175" w:name="_Toc29566"/>
      <w:bookmarkStart w:id="176" w:name="_Toc29441"/>
      <w:bookmarkStart w:id="177" w:name="_Toc12870"/>
      <w:bookmarkStart w:id="178" w:name="_Toc8591"/>
      <w:bookmarkStart w:id="179" w:name="_Toc16027"/>
      <w:bookmarkStart w:id="180" w:name="_Toc16276"/>
      <w:bookmarkStart w:id="181" w:name="bookmark4"/>
      <w:bookmarkStart w:id="182" w:name="_Toc22917"/>
      <w:r>
        <w:rPr>
          <w:rFonts w:hint="eastAsia" w:cs="宋体" w:asciiTheme="minorEastAsia" w:hAnsiTheme="minorEastAsia" w:eastAsiaTheme="minorEastAsia"/>
          <w:b/>
          <w:bCs/>
          <w:color w:val="auto"/>
          <w:sz w:val="24"/>
        </w:rPr>
        <w:t>十</w:t>
      </w:r>
      <w:r>
        <w:rPr>
          <w:rFonts w:hint="eastAsia" w:cs="宋体" w:asciiTheme="minorEastAsia" w:hAnsiTheme="minorEastAsia" w:eastAsiaTheme="minorEastAsia"/>
          <w:b/>
          <w:bCs/>
          <w:color w:val="auto"/>
          <w:sz w:val="24"/>
          <w:lang w:val="en-US" w:eastAsia="zh-CN"/>
        </w:rPr>
        <w:t>五</w:t>
      </w:r>
      <w:r>
        <w:rPr>
          <w:rFonts w:hint="eastAsia" w:cs="宋体" w:asciiTheme="minorEastAsia" w:hAnsiTheme="minorEastAsia" w:eastAsiaTheme="minorEastAsia"/>
          <w:b/>
          <w:bCs/>
          <w:color w:val="auto"/>
          <w:sz w:val="24"/>
        </w:rPr>
        <w:t>、保密</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投标人在获得招标人书面同意前，不得向任何其他投标人或与本招标无关的任何其他人透露有关招标、投标和谈判的任何信息。</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投标人不得向招标人咨询与评标和授标有关的任何信息。本招标文件作为保密资料在未获得招标人书面同意前不能以任何形式向任何第三方透露。</w:t>
      </w:r>
    </w:p>
    <w:p>
      <w:pPr>
        <w:widowControl/>
        <w:spacing w:beforeLines="50" w:line="400" w:lineRule="exact"/>
        <w:ind w:firstLine="482" w:firstLineChars="200"/>
        <w:contextualSpacing/>
        <w:outlineLvl w:val="1"/>
        <w:rPr>
          <w:rFonts w:cs="宋体" w:asciiTheme="minorEastAsia" w:hAnsiTheme="minorEastAsia" w:eastAsiaTheme="minorEastAsia"/>
          <w:b/>
          <w:bCs/>
          <w:color w:val="auto"/>
          <w:sz w:val="24"/>
        </w:rPr>
      </w:pPr>
      <w:bookmarkStart w:id="183" w:name="_Toc28866"/>
      <w:bookmarkStart w:id="184" w:name="_Toc10362"/>
      <w:bookmarkStart w:id="185" w:name="_Toc30429"/>
      <w:bookmarkStart w:id="186" w:name="_Toc29194"/>
      <w:bookmarkStart w:id="187" w:name="_Toc12416"/>
      <w:bookmarkStart w:id="188" w:name="_Toc2897"/>
      <w:bookmarkStart w:id="189" w:name="_Toc31278"/>
      <w:bookmarkStart w:id="190" w:name="_Toc31792"/>
      <w:bookmarkStart w:id="191" w:name="_Toc19027"/>
      <w:bookmarkStart w:id="192" w:name="_Toc27531"/>
      <w:bookmarkStart w:id="193" w:name="_Toc28885"/>
      <w:bookmarkStart w:id="194" w:name="_Toc27188"/>
      <w:bookmarkStart w:id="195" w:name="_Toc11049"/>
      <w:bookmarkStart w:id="196" w:name="_Toc1206"/>
      <w:bookmarkStart w:id="197" w:name="_Toc12936"/>
      <w:bookmarkStart w:id="198" w:name="_Toc2248"/>
      <w:bookmarkStart w:id="199" w:name="_Toc11073"/>
      <w:bookmarkStart w:id="200" w:name="_Toc19781"/>
      <w:r>
        <w:rPr>
          <w:rFonts w:hint="eastAsia" w:cs="宋体" w:asciiTheme="minorEastAsia" w:hAnsiTheme="minorEastAsia" w:eastAsiaTheme="minorEastAsia"/>
          <w:b/>
          <w:bCs/>
          <w:color w:val="auto"/>
          <w:sz w:val="24"/>
        </w:rPr>
        <w:t>十</w:t>
      </w:r>
      <w:r>
        <w:rPr>
          <w:rFonts w:hint="eastAsia" w:cs="宋体" w:asciiTheme="minorEastAsia" w:hAnsiTheme="minorEastAsia" w:eastAsiaTheme="minorEastAsia"/>
          <w:b/>
          <w:bCs/>
          <w:color w:val="auto"/>
          <w:sz w:val="24"/>
          <w:lang w:val="en-US" w:eastAsia="zh-CN"/>
        </w:rPr>
        <w:t>六</w:t>
      </w:r>
      <w:r>
        <w:rPr>
          <w:rFonts w:hint="eastAsia" w:cs="宋体" w:asciiTheme="minorEastAsia" w:hAnsiTheme="minorEastAsia" w:eastAsiaTheme="minorEastAsia"/>
          <w:b/>
          <w:bCs/>
          <w:color w:val="auto"/>
          <w:sz w:val="24"/>
        </w:rPr>
        <w:t>、开标、评标</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pPr>
        <w:widowControl/>
        <w:spacing w:beforeLines="50" w:line="400" w:lineRule="exact"/>
        <w:ind w:firstLine="482" w:firstLineChars="200"/>
        <w:contextualSpacing/>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（一）开标</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开标及唱标</w:t>
      </w:r>
    </w:p>
    <w:p>
      <w:pPr>
        <w:widowControl/>
        <w:spacing w:beforeLines="50" w:line="400" w:lineRule="exact"/>
        <w:ind w:firstLine="480" w:firstLineChars="200"/>
        <w:contextualSpacing/>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招标人及招标代理机构在招标文件中规定的时间和地点公开开标、唱标。投标人派代表参加并签到。投标时间截止后，招标人及招标代理机构拒绝接受任何投标。开标时，由监督人员和投标人代表当众查验投标文件的密封情况。</w:t>
      </w:r>
    </w:p>
    <w:p>
      <w:pPr>
        <w:widowControl/>
        <w:spacing w:beforeLines="50" w:line="400" w:lineRule="exact"/>
        <w:ind w:firstLine="480" w:firstLineChars="200"/>
        <w:contextualSpacing/>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当场不予受理的投标</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投标文件属下列情况之一的，招标人不予受理，不再对其进行开标和后续评审，并原封退还投标人。1)逾期送达的或者未送达指定地点的；2）未按招标文件要求密封的。</w:t>
      </w:r>
    </w:p>
    <w:p>
      <w:pPr>
        <w:widowControl/>
        <w:spacing w:beforeLines="50" w:line="400" w:lineRule="exact"/>
        <w:ind w:firstLine="480" w:firstLineChars="200"/>
        <w:contextualSpacing/>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开标时，如果投标文件中的</w:t>
      </w:r>
      <w:r>
        <w:rPr>
          <w:rFonts w:hint="eastAsia" w:cs="宋体" w:asciiTheme="minorEastAsia" w:hAnsiTheme="minorEastAsia" w:eastAsiaTheme="minorEastAsia"/>
          <w:color w:val="auto"/>
          <w:sz w:val="24"/>
        </w:rPr>
        <w:t>投标</w:t>
      </w:r>
      <w:r>
        <w:rPr>
          <w:rFonts w:hint="eastAsia" w:cs="宋体" w:asciiTheme="minorEastAsia" w:hAnsiTheme="minorEastAsia" w:eastAsiaTheme="minorEastAsia"/>
          <w:color w:val="auto"/>
          <w:kern w:val="0"/>
          <w:sz w:val="24"/>
        </w:rPr>
        <w:t>一览表内容与投标文件中明细表内容不一致的，以</w:t>
      </w:r>
      <w:r>
        <w:rPr>
          <w:rFonts w:hint="eastAsia" w:cs="宋体" w:asciiTheme="minorEastAsia" w:hAnsiTheme="minorEastAsia" w:eastAsiaTheme="minorEastAsia"/>
          <w:color w:val="auto"/>
          <w:sz w:val="24"/>
        </w:rPr>
        <w:t>投标</w:t>
      </w:r>
      <w:r>
        <w:rPr>
          <w:rFonts w:hint="eastAsia" w:cs="宋体" w:asciiTheme="minorEastAsia" w:hAnsiTheme="minorEastAsia" w:eastAsiaTheme="minorEastAsia"/>
          <w:color w:val="auto"/>
          <w:kern w:val="0"/>
          <w:sz w:val="24"/>
        </w:rPr>
        <w:t>一览表为准；唱标密封袋内</w:t>
      </w:r>
      <w:r>
        <w:rPr>
          <w:rFonts w:hint="eastAsia" w:cs="宋体" w:asciiTheme="minorEastAsia" w:hAnsiTheme="minorEastAsia" w:eastAsiaTheme="minorEastAsia"/>
          <w:color w:val="auto"/>
          <w:sz w:val="24"/>
        </w:rPr>
        <w:t>投标</w:t>
      </w:r>
      <w:r>
        <w:rPr>
          <w:rFonts w:hint="eastAsia" w:cs="宋体" w:asciiTheme="minorEastAsia" w:hAnsiTheme="minorEastAsia" w:eastAsiaTheme="minorEastAsia"/>
          <w:color w:val="auto"/>
          <w:kern w:val="0"/>
          <w:sz w:val="24"/>
        </w:rPr>
        <w:t>一览表与正本不一致的，以投标文件正本为准。</w:t>
      </w:r>
    </w:p>
    <w:p>
      <w:pPr>
        <w:widowControl/>
        <w:spacing w:beforeLines="50" w:line="400" w:lineRule="exact"/>
        <w:ind w:firstLine="482" w:firstLineChars="200"/>
        <w:contextualSpacing/>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（二）评标</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评标将按照相关法规以及招标文件的要求和条件进行。</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项目的评标活动由评标委员会负责。该评标委员会成员由招标人的代表和有关物资采购技术、经济等方面的专家组成。评标委员会将对投标文件按照相同的程序和同一评标方法进行审查、质疑、评估和比较。向招标人提交书面评标报告，阐明对投标文件的评审和比较意见，并推荐中标候选人。</w:t>
      </w:r>
    </w:p>
    <w:p>
      <w:pPr>
        <w:widowControl/>
        <w:spacing w:beforeLines="50" w:line="400" w:lineRule="exact"/>
        <w:ind w:firstLine="482" w:firstLineChars="200"/>
        <w:contextualSpacing/>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（三）保密</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招标人、招标代理机构、评标委员会成员及其他相关人员，不得将有关招标文件的出售、审查、澄清以及有关授予合同的意向等需要保密信息透露给任何投标人。</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投标人不得以任何方式干扰评标委员会的招标和评标活动，否则其投标将被视为无效并追究其法律责任。</w:t>
      </w:r>
    </w:p>
    <w:p>
      <w:pPr>
        <w:widowControl/>
        <w:spacing w:beforeLines="50" w:line="400" w:lineRule="exact"/>
        <w:ind w:firstLine="482" w:firstLineChars="200"/>
        <w:contextualSpacing/>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（四）授予合同</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定标后，由招标代理机构向中标人发出中标通知书。中标人在收到中标通知书后按招标人要求与招标人洽谈和签订合同。中标单位无正当理由不与招标人订立合同的，或者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中标人自签订合同后无正当理由拒绝执行的，给招标人造成的损失由其负责承担。</w:t>
      </w:r>
    </w:p>
    <w:p>
      <w:pPr>
        <w:widowControl/>
        <w:spacing w:beforeLines="50" w:line="400" w:lineRule="exact"/>
        <w:contextualSpacing/>
        <w:outlineLvl w:val="1"/>
        <w:rPr>
          <w:rFonts w:cs="宋体" w:asciiTheme="minorEastAsia" w:hAnsiTheme="minorEastAsia" w:eastAsiaTheme="minorEastAsia"/>
          <w:b/>
          <w:bCs/>
          <w:color w:val="auto"/>
          <w:sz w:val="24"/>
        </w:rPr>
      </w:pPr>
      <w:bookmarkStart w:id="201" w:name="_Toc13631"/>
      <w:bookmarkStart w:id="202" w:name="_Toc23923"/>
      <w:bookmarkStart w:id="203" w:name="_Toc27694"/>
      <w:bookmarkStart w:id="204" w:name="_Toc28150"/>
      <w:bookmarkStart w:id="205" w:name="_Toc29806"/>
      <w:bookmarkStart w:id="206" w:name="_Toc7935"/>
      <w:bookmarkStart w:id="207" w:name="_Toc5154"/>
      <w:bookmarkStart w:id="208" w:name="_Toc3983"/>
      <w:bookmarkStart w:id="209" w:name="_Toc21355"/>
      <w:bookmarkStart w:id="210" w:name="_Toc24256"/>
      <w:bookmarkStart w:id="211" w:name="_Toc9491"/>
      <w:bookmarkStart w:id="212" w:name="_Toc24160"/>
      <w:bookmarkStart w:id="213" w:name="_Toc15527"/>
      <w:bookmarkStart w:id="214" w:name="_Toc8681"/>
      <w:bookmarkStart w:id="215" w:name="_Toc3087"/>
      <w:bookmarkStart w:id="216" w:name="_Toc27302"/>
      <w:r>
        <w:rPr>
          <w:rFonts w:hint="eastAsia" w:cs="宋体" w:asciiTheme="minorEastAsia" w:hAnsiTheme="minorEastAsia" w:eastAsiaTheme="minorEastAsia"/>
          <w:b/>
          <w:bCs/>
          <w:color w:val="auto"/>
          <w:sz w:val="24"/>
        </w:rPr>
        <w:t>十</w:t>
      </w:r>
      <w:r>
        <w:rPr>
          <w:rFonts w:hint="eastAsia" w:cs="宋体" w:asciiTheme="minorEastAsia" w:hAnsiTheme="minorEastAsia" w:eastAsiaTheme="minorEastAsia"/>
          <w:b/>
          <w:bCs/>
          <w:color w:val="auto"/>
          <w:sz w:val="24"/>
          <w:lang w:val="en-US" w:eastAsia="zh-CN"/>
        </w:rPr>
        <w:t>七</w:t>
      </w:r>
      <w:r>
        <w:rPr>
          <w:rFonts w:hint="eastAsia" w:cs="宋体" w:asciiTheme="minorEastAsia" w:hAnsiTheme="minorEastAsia" w:eastAsiaTheme="minorEastAsia"/>
          <w:b/>
          <w:bCs/>
          <w:color w:val="auto"/>
          <w:sz w:val="24"/>
        </w:rPr>
        <w:t>、纪检监察</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pPr>
        <w:widowControl/>
        <w:spacing w:beforeLines="50" w:line="400" w:lineRule="exact"/>
        <w:ind w:firstLine="480" w:firstLineChars="200"/>
        <w:contextualSpacing/>
        <w:outlineLvl w:val="9"/>
        <w:rPr>
          <w:rFonts w:hint="eastAsia" w:ascii="宋体" w:hAnsi="宋体" w:cs="宋体"/>
          <w:color w:val="auto"/>
          <w:sz w:val="24"/>
        </w:rPr>
      </w:pPr>
      <w:r>
        <w:rPr>
          <w:rFonts w:hint="eastAsia" w:cs="宋体" w:asciiTheme="minorEastAsia" w:hAnsiTheme="minorEastAsia" w:eastAsiaTheme="minorEastAsia"/>
          <w:color w:val="auto"/>
          <w:sz w:val="24"/>
        </w:rPr>
        <w:t>为了加强党风廉政建设和反腐败工作，畅通举报渠道，加大案件查处力度。请投标人对招标和合同谈判过程中的违法违纪行为给予举报。</w:t>
      </w:r>
      <w:r>
        <w:rPr>
          <w:rFonts w:hint="eastAsia" w:ascii="宋体" w:hAnsi="宋体" w:cs="宋体"/>
          <w:color w:val="auto"/>
          <w:sz w:val="24"/>
        </w:rPr>
        <w:br w:type="page"/>
      </w:r>
      <w:bookmarkStart w:id="217" w:name="_Toc16855"/>
      <w:bookmarkStart w:id="218" w:name="_Toc1231"/>
      <w:bookmarkStart w:id="219" w:name="_Toc31802"/>
      <w:bookmarkStart w:id="220" w:name="_Toc31752"/>
      <w:bookmarkStart w:id="221" w:name="_Toc17436"/>
      <w:bookmarkStart w:id="222" w:name="_Toc22803"/>
      <w:bookmarkStart w:id="223" w:name="_Toc19140"/>
      <w:bookmarkStart w:id="224" w:name="_Toc18429"/>
    </w:p>
    <w:bookmarkEnd w:id="217"/>
    <w:bookmarkEnd w:id="218"/>
    <w:bookmarkEnd w:id="219"/>
    <w:bookmarkEnd w:id="220"/>
    <w:bookmarkEnd w:id="221"/>
    <w:bookmarkEnd w:id="222"/>
    <w:bookmarkEnd w:id="223"/>
    <w:bookmarkEnd w:id="224"/>
    <w:p>
      <w:pPr>
        <w:keepNext w:val="0"/>
        <w:keepLines w:val="0"/>
        <w:pageBreakBefore w:val="0"/>
        <w:widowControl/>
        <w:numPr>
          <w:ilvl w:val="0"/>
          <w:numId w:val="3"/>
        </w:numPr>
        <w:kinsoku/>
        <w:wordWrap/>
        <w:overflowPunct/>
        <w:bidi w:val="0"/>
        <w:snapToGrid/>
        <w:spacing w:before="156" w:beforeLines="50" w:line="360" w:lineRule="auto"/>
        <w:ind w:firstLine="482" w:firstLineChars="200"/>
        <w:rPr>
          <w:rFonts w:hint="eastAsia" w:ascii="宋体" w:hAnsi="宋体" w:cs="宋体"/>
          <w:b/>
          <w:bCs/>
          <w:sz w:val="24"/>
        </w:rPr>
      </w:pPr>
      <w:r>
        <w:rPr>
          <w:rFonts w:hint="eastAsia" w:ascii="宋体" w:hAnsi="宋体" w:cs="宋体"/>
          <w:b/>
          <w:bCs/>
          <w:sz w:val="24"/>
        </w:rPr>
        <w:t>符合性评审</w:t>
      </w:r>
    </w:p>
    <w:p>
      <w:pPr>
        <w:keepNext w:val="0"/>
        <w:keepLines w:val="0"/>
        <w:pageBreakBefore w:val="0"/>
        <w:widowControl/>
        <w:suppressLineNumbers w:val="0"/>
        <w:tabs>
          <w:tab w:val="left" w:pos="220"/>
          <w:tab w:val="center" w:pos="4741"/>
        </w:tabs>
        <w:kinsoku/>
        <w:wordWrap/>
        <w:overflowPunct/>
        <w:autoSpaceDE/>
        <w:autoSpaceDN/>
        <w:bidi w:val="0"/>
        <w:adjustRightInd/>
        <w:snapToGrid/>
        <w:spacing w:line="360" w:lineRule="auto"/>
        <w:ind w:firstLine="480" w:firstLineChars="200"/>
        <w:jc w:val="left"/>
        <w:textAlignment w:val="center"/>
        <w:rPr>
          <w:rFonts w:hint="eastAsia" w:ascii="宋体" w:hAnsi="宋体" w:cs="宋体"/>
          <w:sz w:val="24"/>
          <w:lang w:val="en-US" w:eastAsia="zh-CN"/>
        </w:rPr>
      </w:pPr>
      <w:r>
        <w:rPr>
          <w:rFonts w:hint="eastAsia" w:ascii="宋体" w:hAnsi="宋体" w:cs="宋体"/>
          <w:sz w:val="24"/>
          <w:lang w:val="en-US" w:eastAsia="zh-CN"/>
        </w:rPr>
        <w:t>符合招标文件报价要求的投标文件即可通过符合性检查进入商务评审。</w:t>
      </w:r>
    </w:p>
    <w:p>
      <w:pPr>
        <w:keepNext w:val="0"/>
        <w:keepLines w:val="0"/>
        <w:pageBreakBefore w:val="0"/>
        <w:kinsoku/>
        <w:wordWrap/>
        <w:overflowPunct/>
        <w:bidi w:val="0"/>
        <w:snapToGrid/>
        <w:spacing w:line="360" w:lineRule="auto"/>
        <w:ind w:firstLine="482" w:firstLineChars="200"/>
        <w:rPr>
          <w:rFonts w:hint="eastAsia" w:ascii="宋体" w:hAnsi="宋体" w:cs="宋体"/>
          <w:b/>
          <w:bCs/>
          <w:sz w:val="24"/>
        </w:rPr>
      </w:pPr>
      <w:r>
        <w:rPr>
          <w:rFonts w:hint="eastAsia" w:ascii="宋体" w:hAnsi="宋体" w:cs="宋体"/>
          <w:b/>
          <w:bCs/>
          <w:sz w:val="24"/>
        </w:rPr>
        <w:t>二、商务评审</w:t>
      </w:r>
    </w:p>
    <w:p>
      <w:pPr>
        <w:keepNext w:val="0"/>
        <w:keepLines w:val="0"/>
        <w:pageBreakBefore w:val="0"/>
        <w:widowControl/>
        <w:suppressLineNumbers w:val="0"/>
        <w:tabs>
          <w:tab w:val="left" w:pos="220"/>
          <w:tab w:val="center" w:pos="4741"/>
        </w:tabs>
        <w:kinsoku/>
        <w:wordWrap/>
        <w:overflowPunct/>
        <w:autoSpaceDE/>
        <w:autoSpaceDN/>
        <w:bidi w:val="0"/>
        <w:adjustRightInd/>
        <w:snapToGrid/>
        <w:spacing w:line="360" w:lineRule="auto"/>
        <w:ind w:firstLine="482" w:firstLineChars="200"/>
        <w:jc w:val="left"/>
        <w:textAlignment w:val="center"/>
        <w:rPr>
          <w:rFonts w:hint="eastAsia" w:asciiTheme="minorEastAsia" w:hAnsiTheme="minorEastAsia" w:eastAsiaTheme="minorEastAsia" w:cstheme="minorEastAsia"/>
          <w:b/>
          <w:bCs/>
          <w:i w:val="0"/>
          <w:color w:val="auto"/>
          <w:kern w:val="0"/>
          <w:sz w:val="24"/>
          <w:szCs w:val="24"/>
          <w:u w:val="none"/>
          <w:lang w:val="en-US" w:eastAsia="zh-CN" w:bidi="ar"/>
        </w:rPr>
      </w:pPr>
      <w:r>
        <w:rPr>
          <w:rFonts w:hint="eastAsia" w:asciiTheme="minorEastAsia" w:hAnsiTheme="minorEastAsia" w:eastAsiaTheme="minorEastAsia" w:cstheme="minorEastAsia"/>
          <w:b/>
          <w:bCs/>
          <w:i w:val="0"/>
          <w:color w:val="auto"/>
          <w:kern w:val="0"/>
          <w:sz w:val="24"/>
          <w:szCs w:val="24"/>
          <w:u w:val="none"/>
          <w:lang w:val="en-US" w:eastAsia="zh-CN" w:bidi="ar"/>
        </w:rPr>
        <w:t>各投标人可就一个或多个标段投标，并允许同时中标多个标段。</w:t>
      </w:r>
    </w:p>
    <w:p>
      <w:pPr>
        <w:spacing w:line="400" w:lineRule="exact"/>
        <w:ind w:firstLine="482" w:firstLineChars="200"/>
        <w:contextualSpacing/>
        <w:rPr>
          <w:rFonts w:hint="eastAsia" w:asciiTheme="minorEastAsia" w:hAnsiTheme="minorEastAsia" w:eastAsiaTheme="minorEastAsia" w:cstheme="minorEastAsia"/>
          <w:b/>
          <w:bCs/>
          <w:i w:val="0"/>
          <w:color w:val="auto"/>
          <w:kern w:val="0"/>
          <w:sz w:val="24"/>
          <w:szCs w:val="24"/>
          <w:u w:val="none"/>
          <w:lang w:val="en-US" w:eastAsia="zh-CN" w:bidi="ar"/>
        </w:rPr>
      </w:pPr>
      <w:r>
        <w:rPr>
          <w:rFonts w:hint="eastAsia" w:asciiTheme="minorEastAsia" w:hAnsiTheme="minorEastAsia" w:eastAsiaTheme="minorEastAsia" w:cstheme="minorEastAsia"/>
          <w:b/>
          <w:bCs/>
          <w:i w:val="0"/>
          <w:color w:val="auto"/>
          <w:kern w:val="0"/>
          <w:sz w:val="24"/>
          <w:szCs w:val="24"/>
          <w:u w:val="none"/>
          <w:lang w:val="en-US" w:eastAsia="zh-CN" w:bidi="ar"/>
        </w:rPr>
        <w:t>每一标段各投标人仅有一次报价机会，最高价中标（即投标文件中的报价为最终报价，若最高报价有相同的，则仅允许最高报价相同的投标人再次报价，再次报价的最低价不能低于第一轮的最高报价，直至确定最高报价的投标人即可）。</w:t>
      </w:r>
    </w:p>
    <w:p>
      <w:pPr>
        <w:spacing w:line="400" w:lineRule="exact"/>
        <w:ind w:firstLine="480" w:firstLineChars="200"/>
        <w:contextualSpacing/>
        <w:rPr>
          <w:rFonts w:hint="eastAsia" w:eastAsia="宋体"/>
          <w:color w:val="auto"/>
          <w:sz w:val="24"/>
          <w:lang w:eastAsia="zh-CN"/>
        </w:rPr>
      </w:pPr>
      <w:r>
        <w:rPr>
          <w:rFonts w:hint="eastAsia"/>
          <w:color w:val="auto"/>
          <w:sz w:val="24"/>
        </w:rPr>
        <w:t>【1】各投标单位均有平等报价机会，通过密封投标文件到现场投标报价，在满足本文件其他条款的前提下，对各投标单位的报价从高到低排序</w:t>
      </w:r>
      <w:r>
        <w:rPr>
          <w:rFonts w:hint="eastAsia"/>
          <w:color w:val="auto"/>
          <w:sz w:val="24"/>
          <w:lang w:eastAsia="zh-CN"/>
        </w:rPr>
        <w:t>；</w:t>
      </w:r>
    </w:p>
    <w:p>
      <w:pPr>
        <w:spacing w:line="400" w:lineRule="exact"/>
        <w:ind w:firstLine="480" w:firstLineChars="200"/>
        <w:contextualSpacing/>
        <w:rPr>
          <w:rFonts w:hint="eastAsia"/>
          <w:color w:val="auto"/>
          <w:sz w:val="24"/>
        </w:rPr>
      </w:pPr>
      <w:r>
        <w:rPr>
          <w:rFonts w:hint="eastAsia"/>
          <w:color w:val="auto"/>
          <w:sz w:val="24"/>
        </w:rPr>
        <w:t>【2】如出现</w:t>
      </w:r>
      <w:r>
        <w:rPr>
          <w:rFonts w:hint="eastAsia"/>
          <w:color w:val="auto"/>
          <w:sz w:val="24"/>
          <w:lang w:val="en-US" w:eastAsia="zh-CN"/>
        </w:rPr>
        <w:t>最高</w:t>
      </w:r>
      <w:r>
        <w:rPr>
          <w:rFonts w:hint="eastAsia"/>
          <w:color w:val="auto"/>
          <w:sz w:val="24"/>
        </w:rPr>
        <w:t>报价相同的情况，则</w:t>
      </w:r>
      <w:r>
        <w:rPr>
          <w:rFonts w:hint="eastAsia"/>
          <w:color w:val="auto"/>
          <w:sz w:val="24"/>
          <w:lang w:val="en-US" w:eastAsia="zh-CN"/>
        </w:rPr>
        <w:t>仅最高报价相同的投标人，</w:t>
      </w:r>
      <w:r>
        <w:rPr>
          <w:rFonts w:hint="eastAsia"/>
          <w:color w:val="auto"/>
          <w:sz w:val="24"/>
        </w:rPr>
        <w:t>继续进行第</w:t>
      </w:r>
      <w:r>
        <w:rPr>
          <w:rFonts w:hint="eastAsia"/>
          <w:color w:val="auto"/>
          <w:sz w:val="24"/>
          <w:lang w:val="en-US" w:eastAsia="zh-CN"/>
        </w:rPr>
        <w:t>二</w:t>
      </w:r>
      <w:r>
        <w:rPr>
          <w:rFonts w:hint="eastAsia"/>
          <w:color w:val="auto"/>
          <w:sz w:val="24"/>
        </w:rPr>
        <w:t>轮报价。</w:t>
      </w:r>
      <w:r>
        <w:rPr>
          <w:rFonts w:hint="eastAsia"/>
          <w:color w:val="auto"/>
          <w:sz w:val="24"/>
          <w:lang w:eastAsia="zh-CN"/>
        </w:rPr>
        <w:t>若</w:t>
      </w:r>
      <w:r>
        <w:rPr>
          <w:rFonts w:hint="eastAsia"/>
          <w:color w:val="auto"/>
          <w:sz w:val="24"/>
        </w:rPr>
        <w:t>多轮报价后</w:t>
      </w:r>
      <w:r>
        <w:rPr>
          <w:rFonts w:hint="eastAsia"/>
          <w:color w:val="auto"/>
          <w:sz w:val="24"/>
          <w:lang w:val="en-US" w:eastAsia="zh-CN"/>
        </w:rPr>
        <w:t>投标</w:t>
      </w:r>
      <w:r>
        <w:rPr>
          <w:rFonts w:hint="eastAsia"/>
          <w:color w:val="auto"/>
          <w:sz w:val="24"/>
        </w:rPr>
        <w:t>价格</w:t>
      </w:r>
      <w:r>
        <w:rPr>
          <w:rFonts w:hint="eastAsia"/>
          <w:color w:val="auto"/>
          <w:sz w:val="24"/>
          <w:lang w:val="en-US" w:eastAsia="zh-CN"/>
        </w:rPr>
        <w:t>不能达到招标人的期望值</w:t>
      </w:r>
      <w:r>
        <w:rPr>
          <w:rFonts w:hint="eastAsia"/>
          <w:color w:val="auto"/>
          <w:sz w:val="24"/>
          <w:lang w:eastAsia="zh-CN"/>
        </w:rPr>
        <w:t>，则</w:t>
      </w:r>
      <w:r>
        <w:rPr>
          <w:rFonts w:hint="eastAsia"/>
          <w:color w:val="auto"/>
          <w:sz w:val="24"/>
        </w:rPr>
        <w:t>招标人有权决定</w:t>
      </w:r>
      <w:r>
        <w:rPr>
          <w:rFonts w:hint="eastAsia"/>
          <w:color w:val="auto"/>
          <w:sz w:val="24"/>
          <w:lang w:val="en-US" w:eastAsia="zh-CN"/>
        </w:rPr>
        <w:t>是否终止项目</w:t>
      </w:r>
      <w:r>
        <w:rPr>
          <w:rFonts w:hint="eastAsia"/>
          <w:color w:val="auto"/>
          <w:sz w:val="24"/>
        </w:rPr>
        <w:t>。</w:t>
      </w:r>
    </w:p>
    <w:p>
      <w:pPr>
        <w:spacing w:line="400" w:lineRule="exact"/>
        <w:ind w:firstLine="482" w:firstLineChars="200"/>
        <w:contextualSpacing/>
        <w:rPr>
          <w:b/>
          <w:bCs/>
          <w:color w:val="auto"/>
          <w:sz w:val="24"/>
          <w:highlight w:val="none"/>
        </w:rPr>
      </w:pPr>
      <w:r>
        <w:rPr>
          <w:rFonts w:hint="eastAsia"/>
          <w:b/>
          <w:bCs/>
          <w:color w:val="auto"/>
          <w:sz w:val="24"/>
        </w:rPr>
        <w:t>2、</w:t>
      </w:r>
      <w:r>
        <w:rPr>
          <w:rFonts w:hint="eastAsia"/>
          <w:b/>
          <w:bCs/>
          <w:color w:val="auto"/>
          <w:sz w:val="24"/>
          <w:lang w:val="en-US" w:eastAsia="zh-CN"/>
        </w:rPr>
        <w:t>投标</w:t>
      </w:r>
      <w:r>
        <w:rPr>
          <w:rFonts w:hint="eastAsia"/>
          <w:b/>
          <w:bCs/>
          <w:color w:val="auto"/>
          <w:sz w:val="24"/>
        </w:rPr>
        <w:t>报价为含各种税费的现场自提货总价（人民币），卖方不负责标的货物的质量，买方自行前往查看货物</w:t>
      </w:r>
      <w:r>
        <w:rPr>
          <w:rFonts w:hint="eastAsia"/>
          <w:b/>
          <w:bCs/>
          <w:color w:val="auto"/>
          <w:sz w:val="24"/>
          <w:highlight w:val="none"/>
        </w:rPr>
        <w:t>，卖方有审核最高报价及取消销售的权利；</w:t>
      </w:r>
    </w:p>
    <w:p>
      <w:pPr>
        <w:spacing w:line="400" w:lineRule="exact"/>
        <w:ind w:firstLine="480" w:firstLineChars="200"/>
        <w:contextualSpacing/>
        <w:rPr>
          <w:color w:val="auto"/>
          <w:sz w:val="24"/>
        </w:rPr>
      </w:pPr>
      <w:r>
        <w:rPr>
          <w:rFonts w:hint="eastAsia"/>
          <w:color w:val="auto"/>
          <w:sz w:val="24"/>
        </w:rPr>
        <w:t>3、中标单位在收到中标通知书后</w:t>
      </w:r>
      <w:r>
        <w:rPr>
          <w:rFonts w:hint="eastAsia"/>
          <w:color w:val="auto"/>
          <w:sz w:val="24"/>
          <w:lang w:val="en-US" w:eastAsia="zh-CN"/>
        </w:rPr>
        <w:t>30</w:t>
      </w:r>
      <w:r>
        <w:rPr>
          <w:rFonts w:hint="eastAsia"/>
          <w:color w:val="auto"/>
          <w:sz w:val="24"/>
        </w:rPr>
        <w:t>日内与招标方签订购销合同</w:t>
      </w:r>
      <w:r>
        <w:rPr>
          <w:rFonts w:hint="eastAsia"/>
          <w:b/>
          <w:bCs/>
          <w:color w:val="auto"/>
          <w:sz w:val="24"/>
        </w:rPr>
        <w:t>（先款（全款）后货的原则）</w:t>
      </w:r>
      <w:r>
        <w:rPr>
          <w:rFonts w:hint="eastAsia"/>
          <w:color w:val="auto"/>
          <w:sz w:val="24"/>
        </w:rPr>
        <w:t>；</w:t>
      </w:r>
    </w:p>
    <w:p>
      <w:pPr>
        <w:spacing w:line="400" w:lineRule="exact"/>
        <w:ind w:firstLine="480" w:firstLineChars="200"/>
        <w:contextualSpacing/>
        <w:rPr>
          <w:color w:val="auto"/>
          <w:sz w:val="24"/>
        </w:rPr>
      </w:pPr>
      <w:r>
        <w:rPr>
          <w:rFonts w:hint="eastAsia"/>
          <w:color w:val="auto"/>
          <w:sz w:val="24"/>
          <w:lang w:val="en-US" w:eastAsia="zh-CN"/>
        </w:rPr>
        <w:t>4</w:t>
      </w:r>
      <w:r>
        <w:rPr>
          <w:rFonts w:hint="eastAsia"/>
          <w:color w:val="auto"/>
          <w:sz w:val="24"/>
        </w:rPr>
        <w:t>、本招标文件的销售公告内容为本项目执行条款的组成部分。</w:t>
      </w:r>
    </w:p>
    <w:p>
      <w:pPr>
        <w:spacing w:line="400" w:lineRule="exact"/>
        <w:ind w:firstLine="480" w:firstLineChars="200"/>
        <w:contextualSpacing/>
        <w:rPr>
          <w:rFonts w:ascii="宋体" w:hAnsi="宋体" w:cs="宋体"/>
          <w:b/>
          <w:bCs/>
          <w:color w:val="auto"/>
          <w:sz w:val="24"/>
        </w:rPr>
      </w:pPr>
      <w:r>
        <w:rPr>
          <w:rFonts w:hint="eastAsia"/>
          <w:color w:val="auto"/>
          <w:sz w:val="24"/>
          <w:lang w:val="en-US" w:eastAsia="zh-CN"/>
        </w:rPr>
        <w:t>5</w:t>
      </w:r>
      <w:r>
        <w:rPr>
          <w:rFonts w:hint="eastAsia"/>
          <w:color w:val="auto"/>
          <w:sz w:val="24"/>
        </w:rPr>
        <w:t>、合同签订存在异议的双方协商解决，解决不成按照国家相关规定执行或在招标方当地的仲裁机构或人民法院裁决。</w:t>
      </w:r>
    </w:p>
    <w:p>
      <w:pPr>
        <w:widowControl/>
        <w:spacing w:beforeLines="50" w:line="360" w:lineRule="auto"/>
        <w:ind w:left="420" w:leftChars="200"/>
        <w:rPr>
          <w:rFonts w:ascii="宋体" w:hAnsi="宋体" w:cs="宋体"/>
          <w:b/>
          <w:bCs/>
          <w:color w:val="auto"/>
          <w:sz w:val="24"/>
        </w:rPr>
      </w:pPr>
    </w:p>
    <w:p>
      <w:pPr>
        <w:jc w:val="center"/>
        <w:outlineLvl w:val="0"/>
        <w:rPr>
          <w:rFonts w:hint="eastAsia" w:ascii="宋体" w:hAnsi="宋体"/>
          <w:b/>
          <w:color w:val="auto"/>
          <w:sz w:val="32"/>
          <w:szCs w:val="32"/>
        </w:rPr>
      </w:pPr>
      <w:r>
        <w:rPr>
          <w:rFonts w:hint="eastAsia" w:hAnsi="宋体" w:cs="宋体"/>
          <w:color w:val="auto"/>
          <w:sz w:val="24"/>
        </w:rPr>
        <w:br w:type="page"/>
      </w:r>
      <w:bookmarkStart w:id="225" w:name="_Toc2472"/>
      <w:r>
        <w:rPr>
          <w:rFonts w:hint="eastAsia" w:ascii="宋体" w:hAnsi="宋体"/>
          <w:b/>
          <w:color w:val="auto"/>
          <w:sz w:val="32"/>
          <w:szCs w:val="32"/>
          <w:lang w:val="en-US" w:eastAsia="zh-CN"/>
        </w:rPr>
        <w:t xml:space="preserve">第三章 </w:t>
      </w:r>
      <w:r>
        <w:rPr>
          <w:rFonts w:hint="eastAsia" w:ascii="宋体" w:hAnsi="宋体"/>
          <w:b/>
          <w:color w:val="auto"/>
          <w:sz w:val="32"/>
          <w:szCs w:val="32"/>
        </w:rPr>
        <w:t>购销合同</w:t>
      </w:r>
    </w:p>
    <w:p>
      <w:pPr>
        <w:jc w:val="center"/>
        <w:rPr>
          <w:rFonts w:hint="eastAsia" w:ascii="宋体" w:hAnsi="宋体"/>
          <w:b/>
          <w:color w:val="auto"/>
          <w:sz w:val="32"/>
          <w:szCs w:val="32"/>
        </w:rPr>
      </w:pP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供方：青海西钢再生资源综合利用开发有限公司               </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合同编号：20</w:t>
      </w:r>
      <w:r>
        <w:rPr>
          <w:rFonts w:hint="eastAsia" w:asciiTheme="minorEastAsia" w:hAnsiTheme="minorEastAsia" w:eastAsiaTheme="minorEastAsia" w:cstheme="minorEastAsia"/>
          <w:color w:val="auto"/>
          <w:sz w:val="24"/>
          <w:szCs w:val="24"/>
          <w:lang w:val="en-US" w:eastAsia="zh-CN"/>
        </w:rPr>
        <w:t>21</w:t>
      </w:r>
      <w:r>
        <w:rPr>
          <w:rFonts w:hint="eastAsia" w:asciiTheme="minorEastAsia" w:hAnsiTheme="minorEastAsia" w:eastAsiaTheme="minorEastAsia" w:cstheme="minorEastAsia"/>
          <w:color w:val="auto"/>
          <w:sz w:val="24"/>
          <w:szCs w:val="24"/>
        </w:rPr>
        <w:t>-ZY-XS-0</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（废）</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签订时间：20</w:t>
      </w:r>
      <w:r>
        <w:rPr>
          <w:rFonts w:hint="eastAsia" w:asciiTheme="minorEastAsia" w:hAnsiTheme="minorEastAsia" w:eastAsiaTheme="minorEastAsia" w:cstheme="minorEastAsia"/>
          <w:color w:val="auto"/>
          <w:sz w:val="24"/>
          <w:szCs w:val="24"/>
          <w:lang w:val="en-US" w:eastAsia="zh-CN"/>
        </w:rPr>
        <w:t>21</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需方：</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 xml:space="preserve">公司                                   </w:t>
      </w:r>
      <w:r>
        <w:rPr>
          <w:rFonts w:hint="eastAsia" w:asciiTheme="minorEastAsia" w:hAnsiTheme="minorEastAsia" w:eastAsiaTheme="minorEastAsia" w:cstheme="minorEastAsia"/>
          <w:color w:val="auto"/>
          <w:sz w:val="24"/>
          <w:szCs w:val="24"/>
          <w:lang w:val="en-US" w:eastAsia="zh-CN"/>
        </w:rPr>
        <w:t xml:space="preserve">              </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签订地点：西宁市城北区  </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rPr>
        <w:t>一、基本内容</w:t>
      </w:r>
      <w:r>
        <w:rPr>
          <w:rFonts w:hint="eastAsia" w:asciiTheme="minorEastAsia" w:hAnsiTheme="minorEastAsia" w:eastAsiaTheme="minorEastAsia" w:cstheme="minorEastAsia"/>
          <w:b/>
          <w:bCs/>
          <w:color w:val="auto"/>
          <w:sz w:val="24"/>
          <w:szCs w:val="24"/>
          <w:lang w:eastAsia="zh-CN"/>
        </w:rPr>
        <w:t>：</w:t>
      </w:r>
    </w:p>
    <w:tbl>
      <w:tblPr>
        <w:tblStyle w:val="23"/>
        <w:tblW w:w="89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490"/>
        <w:gridCol w:w="1574"/>
        <w:gridCol w:w="1574"/>
        <w:gridCol w:w="776"/>
        <w:gridCol w:w="1483"/>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noWrap w:val="0"/>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货物名称</w:t>
            </w:r>
          </w:p>
        </w:tc>
        <w:tc>
          <w:tcPr>
            <w:tcW w:w="1490" w:type="dxa"/>
            <w:noWrap w:val="0"/>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数量</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（吨）</w:t>
            </w:r>
          </w:p>
        </w:tc>
        <w:tc>
          <w:tcPr>
            <w:tcW w:w="1574" w:type="dxa"/>
            <w:noWrap w:val="0"/>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含税</w:t>
            </w:r>
            <w:r>
              <w:rPr>
                <w:rFonts w:hint="eastAsia" w:asciiTheme="minorEastAsia" w:hAnsiTheme="minorEastAsia" w:eastAsiaTheme="minorEastAsia" w:cstheme="minorEastAsia"/>
                <w:color w:val="auto"/>
                <w:sz w:val="24"/>
                <w:szCs w:val="24"/>
              </w:rPr>
              <w:t>单价</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元</w:t>
            </w:r>
            <w:r>
              <w:rPr>
                <w:rFonts w:hint="eastAsia" w:asciiTheme="minorEastAsia" w:hAnsiTheme="minorEastAsia" w:eastAsiaTheme="minorEastAsia" w:cstheme="minorEastAsia"/>
                <w:color w:val="auto"/>
                <w:sz w:val="24"/>
                <w:szCs w:val="24"/>
                <w:lang w:val="en-US" w:eastAsia="zh-CN"/>
              </w:rPr>
              <w:t>/吨</w:t>
            </w:r>
            <w:r>
              <w:rPr>
                <w:rFonts w:hint="eastAsia" w:asciiTheme="minorEastAsia" w:hAnsiTheme="minorEastAsia" w:eastAsiaTheme="minorEastAsia" w:cstheme="minorEastAsia"/>
                <w:color w:val="auto"/>
                <w:sz w:val="24"/>
                <w:szCs w:val="24"/>
              </w:rPr>
              <w:t>）</w:t>
            </w:r>
          </w:p>
        </w:tc>
        <w:tc>
          <w:tcPr>
            <w:tcW w:w="1574" w:type="dxa"/>
            <w:noWrap w:val="0"/>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不含税单价（</w:t>
            </w:r>
            <w:r>
              <w:rPr>
                <w:rFonts w:hint="eastAsia" w:asciiTheme="minorEastAsia" w:hAnsiTheme="minorEastAsia" w:eastAsiaTheme="minorEastAsia" w:cstheme="minorEastAsia"/>
                <w:color w:val="auto"/>
                <w:sz w:val="24"/>
                <w:szCs w:val="24"/>
                <w:lang w:eastAsia="zh-CN"/>
              </w:rPr>
              <w:t>元</w:t>
            </w:r>
            <w:r>
              <w:rPr>
                <w:rFonts w:hint="eastAsia" w:asciiTheme="minorEastAsia" w:hAnsiTheme="minorEastAsia" w:eastAsiaTheme="minorEastAsia" w:cstheme="minorEastAsia"/>
                <w:color w:val="auto"/>
                <w:sz w:val="24"/>
                <w:szCs w:val="24"/>
                <w:lang w:val="en-US" w:eastAsia="zh-CN"/>
              </w:rPr>
              <w:t>/吨</w:t>
            </w:r>
            <w:r>
              <w:rPr>
                <w:rFonts w:hint="eastAsia" w:asciiTheme="minorEastAsia" w:hAnsiTheme="minorEastAsia" w:eastAsiaTheme="minorEastAsia" w:cstheme="minorEastAsia"/>
                <w:color w:val="auto"/>
                <w:sz w:val="24"/>
                <w:szCs w:val="24"/>
              </w:rPr>
              <w:t>）</w:t>
            </w:r>
          </w:p>
        </w:tc>
        <w:tc>
          <w:tcPr>
            <w:tcW w:w="776" w:type="dxa"/>
            <w:noWrap w:val="0"/>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税率</w:t>
            </w:r>
          </w:p>
        </w:tc>
        <w:tc>
          <w:tcPr>
            <w:tcW w:w="1483" w:type="dxa"/>
            <w:noWrap w:val="0"/>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不含税金额</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（元）</w:t>
            </w:r>
          </w:p>
        </w:tc>
        <w:tc>
          <w:tcPr>
            <w:tcW w:w="890" w:type="dxa"/>
            <w:noWrap w:val="0"/>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税额</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173" w:type="dxa"/>
            <w:noWrap w:val="0"/>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w:t>
            </w:r>
          </w:p>
        </w:tc>
        <w:tc>
          <w:tcPr>
            <w:tcW w:w="1490" w:type="dxa"/>
            <w:noWrap w:val="0"/>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w:t>
            </w:r>
          </w:p>
        </w:tc>
        <w:tc>
          <w:tcPr>
            <w:tcW w:w="1574" w:type="dxa"/>
            <w:noWrap w:val="0"/>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w:t>
            </w:r>
          </w:p>
        </w:tc>
        <w:tc>
          <w:tcPr>
            <w:tcW w:w="1574" w:type="dxa"/>
            <w:noWrap w:val="0"/>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w:t>
            </w:r>
          </w:p>
        </w:tc>
        <w:tc>
          <w:tcPr>
            <w:tcW w:w="776" w:type="dxa"/>
            <w:noWrap w:val="0"/>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w:t>
            </w:r>
          </w:p>
        </w:tc>
        <w:tc>
          <w:tcPr>
            <w:tcW w:w="1483"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w:t>
            </w:r>
          </w:p>
        </w:tc>
        <w:tc>
          <w:tcPr>
            <w:tcW w:w="890"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173" w:type="dxa"/>
            <w:noWrap w:val="0"/>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价税合计</w:t>
            </w:r>
          </w:p>
        </w:tc>
        <w:tc>
          <w:tcPr>
            <w:tcW w:w="7787" w:type="dxa"/>
            <w:gridSpan w:val="6"/>
            <w:noWrap w:val="0"/>
            <w:vAlign w:val="top"/>
          </w:tcPr>
          <w:p>
            <w:pPr>
              <w:keepNext w:val="0"/>
              <w:keepLines w:val="0"/>
              <w:pageBreakBefore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元（大写：人民币</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元整）</w:t>
            </w:r>
          </w:p>
        </w:tc>
      </w:tr>
    </w:tbl>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二、合同履行地</w:t>
      </w:r>
      <w:r>
        <w:rPr>
          <w:rFonts w:hint="eastAsia" w:asciiTheme="minorEastAsia" w:hAnsiTheme="minorEastAsia" w:eastAsiaTheme="minorEastAsia" w:cstheme="minorEastAsia"/>
          <w:color w:val="auto"/>
          <w:sz w:val="24"/>
          <w:szCs w:val="24"/>
        </w:rPr>
        <w:t>：供方指定货物存储地为履行地。</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三、提货方式</w:t>
      </w:r>
      <w:r>
        <w:rPr>
          <w:rFonts w:hint="eastAsia" w:asciiTheme="minorEastAsia" w:hAnsiTheme="minorEastAsia" w:eastAsiaTheme="minorEastAsia" w:cstheme="minorEastAsia"/>
          <w:color w:val="auto"/>
          <w:sz w:val="24"/>
          <w:szCs w:val="24"/>
        </w:rPr>
        <w:t>：供方负责装车，需方自提。</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四、现场管理</w:t>
      </w:r>
      <w:r>
        <w:rPr>
          <w:rFonts w:hint="eastAsia" w:asciiTheme="minorEastAsia" w:hAnsiTheme="minorEastAsia" w:eastAsiaTheme="minorEastAsia" w:cstheme="minorEastAsia"/>
          <w:color w:val="auto"/>
          <w:sz w:val="24"/>
          <w:szCs w:val="24"/>
        </w:rPr>
        <w:t>：需方根据供方安排及时清理拉运，需方现场作业必须服从供方管理、指挥，提货现场周围的卫生清理工作由需方负责，不得影响供方正常生产及生产现场的环境卫生。</w:t>
      </w:r>
    </w:p>
    <w:p>
      <w:pPr>
        <w:keepNext w:val="0"/>
        <w:keepLines w:val="0"/>
        <w:pageBreakBefore w:val="0"/>
        <w:kinsoku/>
        <w:wordWrap/>
        <w:overflowPunct/>
        <w:topLinePunct w:val="0"/>
        <w:autoSpaceDE/>
        <w:autoSpaceDN/>
        <w:bidi w:val="0"/>
        <w:adjustRightInd/>
        <w:spacing w:line="360" w:lineRule="auto"/>
        <w:ind w:left="0" w:leftChars="0" w:firstLine="482"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rPr>
        <w:t>五、结算方式</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先款后货，款到发货，现金结算，</w:t>
      </w:r>
      <w:r>
        <w:rPr>
          <w:rFonts w:hint="eastAsia" w:asciiTheme="minorEastAsia" w:hAnsiTheme="minorEastAsia" w:eastAsiaTheme="minorEastAsia" w:cstheme="minorEastAsia"/>
          <w:color w:val="auto"/>
          <w:sz w:val="24"/>
          <w:szCs w:val="24"/>
        </w:rPr>
        <w:t>每月25日结账，</w:t>
      </w:r>
      <w:r>
        <w:rPr>
          <w:rFonts w:hint="eastAsia" w:asciiTheme="minorEastAsia" w:hAnsiTheme="minorEastAsia" w:eastAsiaTheme="minorEastAsia" w:cstheme="minorEastAsia"/>
          <w:color w:val="auto"/>
          <w:sz w:val="24"/>
          <w:szCs w:val="24"/>
          <w:lang w:val="en-US" w:eastAsia="zh-CN"/>
        </w:rPr>
        <w:t>具体结算</w:t>
      </w:r>
      <w:r>
        <w:rPr>
          <w:rFonts w:hint="eastAsia" w:asciiTheme="minorEastAsia" w:hAnsiTheme="minorEastAsia" w:eastAsiaTheme="minorEastAsia" w:cstheme="minorEastAsia"/>
          <w:color w:val="auto"/>
          <w:sz w:val="24"/>
          <w:szCs w:val="24"/>
        </w:rPr>
        <w:t>数量以西钢股份</w:t>
      </w:r>
      <w:r>
        <w:rPr>
          <w:rFonts w:hint="eastAsia" w:asciiTheme="minorEastAsia" w:hAnsiTheme="minorEastAsia" w:eastAsiaTheme="minorEastAsia" w:cstheme="minorEastAsia"/>
          <w:color w:val="auto"/>
          <w:sz w:val="24"/>
          <w:szCs w:val="24"/>
          <w:lang w:eastAsia="zh-CN"/>
        </w:rPr>
        <w:t>公司检斤单为准，供货数量及货款双方认可后，供方开具发票。需方需提前缴纳</w:t>
      </w:r>
      <w:r>
        <w:rPr>
          <w:rFonts w:hint="eastAsia" w:asciiTheme="minorEastAsia" w:hAnsiTheme="minorEastAsia" w:eastAsiaTheme="minorEastAsia" w:cstheme="minorEastAsia"/>
          <w:color w:val="auto"/>
          <w:sz w:val="24"/>
          <w:szCs w:val="24"/>
          <w:lang w:val="en-US" w:eastAsia="zh-CN"/>
        </w:rPr>
        <w:t>履约保证金，待需方拉运完中标货物后供方在7个工作日内退还此保证金。</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rPr>
        <w:t>、违约责任</w:t>
      </w:r>
      <w:r>
        <w:rPr>
          <w:rFonts w:hint="eastAsia" w:asciiTheme="minorEastAsia" w:hAnsiTheme="minorEastAsia" w:eastAsiaTheme="minorEastAsia" w:cstheme="minorEastAsia"/>
          <w:color w:val="auto"/>
          <w:sz w:val="24"/>
          <w:szCs w:val="24"/>
        </w:rPr>
        <w:t>：</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需方提货时必须提前通知供方相关人员，供方派人负责监装、监检、监送（送至厂门口），并协助需方办理出门手续（由供方出具出门证），若由需方自身原因造成未及时提货及未能及时清理现场环境，影响供方正常运行的，视为违约，每次从预收款中扣除1000元。</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2、需方运输本货物时，不得夹带供方厂区内的其他物资，否则需方须按夹带物价值的5-10倍支付赔偿，供方有权从预付款中扣除，并移交公安机关处理。</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val="en-US" w:eastAsia="zh-CN"/>
        </w:rPr>
        <w:t>七</w:t>
      </w:r>
      <w:r>
        <w:rPr>
          <w:rFonts w:hint="eastAsia" w:asciiTheme="minorEastAsia" w:hAnsiTheme="minorEastAsia" w:eastAsiaTheme="minorEastAsia" w:cstheme="minorEastAsia"/>
          <w:b/>
          <w:bCs/>
          <w:color w:val="auto"/>
          <w:sz w:val="24"/>
          <w:szCs w:val="24"/>
        </w:rPr>
        <w:t>、安全条款</w:t>
      </w:r>
      <w:r>
        <w:rPr>
          <w:rFonts w:hint="eastAsia" w:asciiTheme="minorEastAsia" w:hAnsiTheme="minorEastAsia" w:eastAsiaTheme="minorEastAsia" w:cstheme="minorEastAsia"/>
          <w:color w:val="auto"/>
          <w:sz w:val="24"/>
          <w:szCs w:val="24"/>
        </w:rPr>
        <w:t>：供方应尽到合理的安全告知义务，需方应遵守供方的安全制度规定，需方对其人员、机具的安全负全责，如因需方原因在装车、运输过程中发生人员、设备等安全事故由需方负责。</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val="en-US" w:eastAsia="zh-CN"/>
        </w:rPr>
        <w:t>八</w:t>
      </w:r>
      <w:r>
        <w:rPr>
          <w:rFonts w:hint="eastAsia" w:asciiTheme="minorEastAsia" w:hAnsiTheme="minorEastAsia" w:eastAsiaTheme="minorEastAsia" w:cstheme="minorEastAsia"/>
          <w:b/>
          <w:bCs/>
          <w:color w:val="auto"/>
          <w:sz w:val="24"/>
          <w:szCs w:val="24"/>
        </w:rPr>
        <w:t>、合同终止情形</w:t>
      </w:r>
      <w:r>
        <w:rPr>
          <w:rFonts w:hint="eastAsia" w:asciiTheme="minorEastAsia" w:hAnsiTheme="minorEastAsia" w:eastAsiaTheme="minorEastAsia" w:cstheme="minorEastAsia"/>
          <w:color w:val="auto"/>
          <w:sz w:val="24"/>
          <w:szCs w:val="24"/>
        </w:rPr>
        <w:t>：</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1、合同期限内，如供方因政策性调整及产业结构调整，回收利用该废旧物资时，供方有权随时终止合同，需方必须服从。</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2、合同期限内，以第一条约定为准，如市场价格上涨，供方有权随时按市场价格作出相应的价格调整，需方必须服从供方的价格调整，否则供方有权终止合同。</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val="en-US" w:eastAsia="zh-CN"/>
        </w:rPr>
        <w:t>九</w:t>
      </w:r>
      <w:r>
        <w:rPr>
          <w:rFonts w:hint="eastAsia" w:asciiTheme="minorEastAsia" w:hAnsiTheme="minorEastAsia" w:eastAsiaTheme="minorEastAsia" w:cstheme="minorEastAsia"/>
          <w:b/>
          <w:bCs/>
          <w:color w:val="auto"/>
          <w:sz w:val="24"/>
          <w:szCs w:val="24"/>
        </w:rPr>
        <w:t>、争议解决方式</w:t>
      </w:r>
      <w:r>
        <w:rPr>
          <w:rFonts w:hint="eastAsia" w:asciiTheme="minorEastAsia" w:hAnsiTheme="minorEastAsia" w:eastAsiaTheme="minorEastAsia" w:cstheme="minorEastAsia"/>
          <w:color w:val="auto"/>
          <w:sz w:val="24"/>
          <w:szCs w:val="24"/>
        </w:rPr>
        <w:t>：本合同履行过程中发生的纠纷，双方先协商解决；协商不成的，向合同签订地人民法院诉讼解决。</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val="en-US" w:eastAsia="zh-CN"/>
        </w:rPr>
        <w:t>十</w:t>
      </w:r>
      <w:r>
        <w:rPr>
          <w:rFonts w:hint="eastAsia" w:asciiTheme="minorEastAsia" w:hAnsiTheme="minorEastAsia" w:eastAsiaTheme="minorEastAsia" w:cstheme="minorEastAsia"/>
          <w:b/>
          <w:bCs/>
          <w:color w:val="auto"/>
          <w:sz w:val="24"/>
          <w:szCs w:val="24"/>
        </w:rPr>
        <w:t>、其他事项</w:t>
      </w:r>
      <w:r>
        <w:rPr>
          <w:rFonts w:hint="eastAsia" w:asciiTheme="minorEastAsia" w:hAnsiTheme="minorEastAsia" w:eastAsiaTheme="minorEastAsia" w:cstheme="minorEastAsia"/>
          <w:color w:val="auto"/>
          <w:sz w:val="24"/>
          <w:szCs w:val="24"/>
        </w:rPr>
        <w:t>：</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1、本合同一式五份，供方持四份，需方持一份，本合同经双方签字盖章后生效。</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2、合同履行期限： 20</w:t>
      </w:r>
      <w:r>
        <w:rPr>
          <w:rFonts w:hint="eastAsia" w:asciiTheme="minorEastAsia" w:hAnsiTheme="minorEastAsia" w:eastAsiaTheme="minorEastAsia" w:cstheme="minorEastAsia"/>
          <w:color w:val="auto"/>
          <w:sz w:val="24"/>
          <w:szCs w:val="24"/>
          <w:lang w:val="en-US" w:eastAsia="zh-CN"/>
        </w:rPr>
        <w:t>21</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日-20</w:t>
      </w:r>
      <w:r>
        <w:rPr>
          <w:rFonts w:hint="eastAsia" w:asciiTheme="minorEastAsia" w:hAnsiTheme="minorEastAsia" w:eastAsiaTheme="minorEastAsia" w:cstheme="minorEastAsia"/>
          <w:color w:val="auto"/>
          <w:sz w:val="24"/>
          <w:szCs w:val="24"/>
          <w:lang w:val="en-US" w:eastAsia="zh-CN"/>
        </w:rPr>
        <w:t>21</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日。</w:t>
      </w:r>
    </w:p>
    <w:tbl>
      <w:tblPr>
        <w:tblStyle w:val="24"/>
        <w:tblpPr w:leftFromText="180" w:rightFromText="180" w:vertAnchor="text" w:horzAnchor="page" w:tblpX="1522" w:tblpY="1007"/>
        <w:tblOverlap w:val="never"/>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6"/>
        <w:gridCol w:w="4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76"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供    方：                                           </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单位全称：</w:t>
            </w:r>
            <w:r>
              <w:rPr>
                <w:rFonts w:hint="eastAsia" w:asciiTheme="minorEastAsia" w:hAnsiTheme="minorEastAsia" w:eastAsiaTheme="minorEastAsia" w:cstheme="minorEastAsia"/>
                <w:color w:val="auto"/>
                <w:sz w:val="24"/>
                <w:szCs w:val="24"/>
                <w:lang w:eastAsia="zh-CN"/>
              </w:rPr>
              <w:t>青海西钢再生资源综合利用开发有限公司</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委托代理：                                           </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联系电话：0971-5299608</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账</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号：</w:t>
            </w:r>
            <w:r>
              <w:rPr>
                <w:rFonts w:hint="eastAsia" w:asciiTheme="minorEastAsia" w:hAnsiTheme="minorEastAsia" w:eastAsiaTheme="minorEastAsia" w:cstheme="minorEastAsia"/>
                <w:color w:val="auto"/>
                <w:sz w:val="24"/>
                <w:szCs w:val="24"/>
                <w:lang w:val="en-US" w:eastAsia="zh-CN"/>
              </w:rPr>
              <w:t>63050150373700000202</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户</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行：</w:t>
            </w:r>
            <w:r>
              <w:rPr>
                <w:rFonts w:hint="eastAsia" w:asciiTheme="minorEastAsia" w:hAnsiTheme="minorEastAsia" w:eastAsiaTheme="minorEastAsia" w:cstheme="minorEastAsia"/>
                <w:color w:val="auto"/>
                <w:sz w:val="24"/>
                <w:szCs w:val="24"/>
                <w:lang w:eastAsia="zh-CN"/>
              </w:rPr>
              <w:t>中国建设银行股份有限公司西宁西川支行</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行</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号：</w:t>
            </w:r>
          </w:p>
        </w:tc>
        <w:tc>
          <w:tcPr>
            <w:tcW w:w="4490"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需    方：</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单位全称：</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公司</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委托代理：</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联系电话：</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账    号：</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开</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户</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行</w:t>
            </w:r>
            <w:r>
              <w:rPr>
                <w:rFonts w:hint="eastAsia" w:asciiTheme="minorEastAsia" w:hAnsiTheme="minorEastAsia" w:eastAsiaTheme="minorEastAsia" w:cstheme="minorEastAsia"/>
                <w:color w:val="auto"/>
                <w:sz w:val="24"/>
                <w:szCs w:val="24"/>
                <w:lang w:eastAsia="zh-CN"/>
              </w:rPr>
              <w:t>：</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行</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号：</w:t>
            </w:r>
          </w:p>
        </w:tc>
      </w:tr>
    </w:tbl>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（以下无正文）</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kern w:val="0"/>
          <w:sz w:val="24"/>
          <w:szCs w:val="24"/>
        </w:rPr>
      </w:pPr>
    </w:p>
    <w:p>
      <w:pPr>
        <w:keepNext w:val="0"/>
        <w:keepLines w:val="0"/>
        <w:pageBreakBefore w:val="0"/>
        <w:kinsoku/>
        <w:wordWrap/>
        <w:overflowPunct/>
        <w:topLinePunct w:val="0"/>
        <w:autoSpaceDE/>
        <w:autoSpaceDN/>
        <w:bidi w:val="0"/>
        <w:adjustRightInd/>
        <w:spacing w:line="360" w:lineRule="auto"/>
        <w:jc w:val="center"/>
        <w:textAlignment w:val="auto"/>
        <w:outlineLvl w:val="9"/>
        <w:rPr>
          <w:rStyle w:val="39"/>
          <w:rFonts w:hint="eastAsia" w:asciiTheme="minorEastAsia" w:hAnsiTheme="minorEastAsia" w:eastAsiaTheme="minorEastAsia" w:cstheme="minorEastAsia"/>
          <w:color w:val="auto"/>
          <w:sz w:val="24"/>
          <w:szCs w:val="24"/>
        </w:rPr>
      </w:pPr>
    </w:p>
    <w:p>
      <w:pPr>
        <w:jc w:val="center"/>
        <w:outlineLvl w:val="0"/>
        <w:rPr>
          <w:rStyle w:val="39"/>
          <w:rFonts w:hint="eastAsia" w:hAnsi="宋体" w:cs="宋体"/>
          <w:color w:val="auto"/>
          <w:sz w:val="32"/>
          <w:szCs w:val="32"/>
        </w:rPr>
      </w:pPr>
      <w:r>
        <w:rPr>
          <w:rStyle w:val="39"/>
          <w:rFonts w:hint="eastAsia" w:hAnsi="宋体" w:cs="宋体"/>
          <w:color w:val="auto"/>
          <w:sz w:val="32"/>
          <w:szCs w:val="32"/>
        </w:rPr>
        <w:br w:type="page"/>
      </w:r>
    </w:p>
    <w:p>
      <w:pPr>
        <w:jc w:val="center"/>
        <w:outlineLvl w:val="0"/>
        <w:rPr>
          <w:rFonts w:ascii="黑体" w:hAnsi="黑体" w:eastAsia="黑体" w:cs="黑体"/>
          <w:color w:val="auto"/>
          <w:sz w:val="32"/>
          <w:szCs w:val="32"/>
        </w:rPr>
      </w:pPr>
      <w:r>
        <w:rPr>
          <w:rStyle w:val="39"/>
          <w:rFonts w:hint="eastAsia" w:hAnsi="宋体" w:cs="宋体"/>
          <w:color w:val="auto"/>
          <w:sz w:val="32"/>
          <w:szCs w:val="32"/>
        </w:rPr>
        <w:t>第四章 物资技术资料</w:t>
      </w:r>
      <w:bookmarkEnd w:id="225"/>
    </w:p>
    <w:p>
      <w:pPr>
        <w:spacing w:line="360" w:lineRule="auto"/>
        <w:ind w:firstLine="482" w:firstLineChars="200"/>
        <w:rPr>
          <w:rFonts w:hint="eastAsia" w:asciiTheme="minorEastAsia" w:hAnsiTheme="minorEastAsia" w:eastAsiaTheme="minorEastAsia" w:cstheme="minorEastAsia"/>
          <w:b/>
          <w:bCs w:val="0"/>
          <w:color w:val="auto"/>
          <w:sz w:val="24"/>
          <w:szCs w:val="24"/>
          <w:highlight w:val="none"/>
          <w:lang w:val="en-US" w:eastAsia="zh-CN"/>
        </w:rPr>
      </w:pPr>
      <w:bookmarkStart w:id="226" w:name="_Toc21186"/>
      <w:bookmarkStart w:id="227" w:name="_Toc3997"/>
      <w:r>
        <w:rPr>
          <w:rFonts w:hint="eastAsia" w:asciiTheme="minorEastAsia" w:hAnsiTheme="minorEastAsia" w:eastAsiaTheme="minorEastAsia" w:cstheme="minorEastAsia"/>
          <w:b/>
          <w:color w:val="auto"/>
          <w:sz w:val="24"/>
          <w:szCs w:val="24"/>
          <w:lang w:val="en-US" w:eastAsia="zh-CN"/>
        </w:rPr>
        <w:t>一、</w:t>
      </w:r>
      <w:r>
        <w:rPr>
          <w:rFonts w:hint="eastAsia" w:asciiTheme="minorEastAsia" w:hAnsiTheme="minorEastAsia" w:eastAsiaTheme="minorEastAsia" w:cstheme="minorEastAsia"/>
          <w:b/>
          <w:bCs/>
          <w:color w:val="auto"/>
          <w:sz w:val="24"/>
          <w:szCs w:val="24"/>
        </w:rPr>
        <w:t>招标销售物资名称及数量:</w:t>
      </w:r>
    </w:p>
    <w:tbl>
      <w:tblPr>
        <w:tblStyle w:val="23"/>
        <w:tblW w:w="0" w:type="auto"/>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155"/>
        <w:gridCol w:w="936"/>
        <w:gridCol w:w="1241"/>
        <w:gridCol w:w="1135"/>
        <w:gridCol w:w="1271"/>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4" w:hRule="atLeast"/>
        </w:trPr>
        <w:tc>
          <w:tcPr>
            <w:tcW w:w="1209" w:type="dxa"/>
            <w:noWrap w:val="0"/>
            <w:vAlign w:val="center"/>
          </w:tcPr>
          <w:p>
            <w:pPr>
              <w:spacing w:line="240" w:lineRule="auto"/>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项目标段号</w:t>
            </w:r>
          </w:p>
        </w:tc>
        <w:tc>
          <w:tcPr>
            <w:tcW w:w="1155" w:type="dxa"/>
            <w:noWrap w:val="0"/>
            <w:vAlign w:val="center"/>
          </w:tcPr>
          <w:p>
            <w:pPr>
              <w:spacing w:line="240" w:lineRule="auto"/>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物资品类</w:t>
            </w:r>
          </w:p>
        </w:tc>
        <w:tc>
          <w:tcPr>
            <w:tcW w:w="936" w:type="dxa"/>
            <w:noWrap w:val="0"/>
            <w:vAlign w:val="center"/>
          </w:tcPr>
          <w:p>
            <w:pPr>
              <w:spacing w:line="240" w:lineRule="auto"/>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数量（吨）</w:t>
            </w:r>
          </w:p>
        </w:tc>
        <w:tc>
          <w:tcPr>
            <w:tcW w:w="1241" w:type="dxa"/>
            <w:noWrap w:val="0"/>
            <w:vAlign w:val="center"/>
          </w:tcPr>
          <w:p>
            <w:pPr>
              <w:spacing w:line="240" w:lineRule="auto"/>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控制单价</w:t>
            </w:r>
          </w:p>
          <w:p>
            <w:pPr>
              <w:spacing w:line="240" w:lineRule="auto"/>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（元/吨）</w:t>
            </w:r>
          </w:p>
        </w:tc>
        <w:tc>
          <w:tcPr>
            <w:tcW w:w="1135" w:type="dxa"/>
            <w:noWrap w:val="0"/>
            <w:vAlign w:val="center"/>
          </w:tcPr>
          <w:p>
            <w:pPr>
              <w:spacing w:line="240" w:lineRule="auto"/>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总价（元）</w:t>
            </w:r>
          </w:p>
        </w:tc>
        <w:tc>
          <w:tcPr>
            <w:tcW w:w="1271" w:type="dxa"/>
            <w:noWrap w:val="0"/>
            <w:vAlign w:val="center"/>
          </w:tcPr>
          <w:p>
            <w:pPr>
              <w:spacing w:line="240" w:lineRule="auto"/>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购买招标文件费用（元）</w:t>
            </w:r>
          </w:p>
        </w:tc>
        <w:tc>
          <w:tcPr>
            <w:tcW w:w="2285" w:type="dxa"/>
            <w:noWrap w:val="0"/>
            <w:vAlign w:val="center"/>
          </w:tcPr>
          <w:p>
            <w:pPr>
              <w:spacing w:line="240" w:lineRule="auto"/>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trPr>
        <w:tc>
          <w:tcPr>
            <w:tcW w:w="1209" w:type="dxa"/>
            <w:noWrap w:val="0"/>
            <w:vAlign w:val="center"/>
          </w:tcPr>
          <w:p>
            <w:pPr>
              <w:spacing w:line="240" w:lineRule="auto"/>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标段一</w:t>
            </w:r>
          </w:p>
        </w:tc>
        <w:tc>
          <w:tcPr>
            <w:tcW w:w="1155"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sz w:val="24"/>
                <w:szCs w:val="24"/>
                <w:lang w:eastAsia="zh-CN"/>
              </w:rPr>
              <w:t>氧化铁皮</w:t>
            </w:r>
          </w:p>
        </w:tc>
        <w:tc>
          <w:tcPr>
            <w:tcW w:w="936"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kern w:val="2"/>
                <w:sz w:val="24"/>
                <w:szCs w:val="24"/>
                <w:lang w:val="en-US" w:eastAsia="zh-CN" w:bidi="ar-SA"/>
              </w:rPr>
              <w:t>210</w:t>
            </w:r>
          </w:p>
        </w:tc>
        <w:tc>
          <w:tcPr>
            <w:tcW w:w="1241"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kern w:val="2"/>
                <w:sz w:val="24"/>
                <w:szCs w:val="24"/>
                <w:lang w:val="en-US" w:eastAsia="zh-CN" w:bidi="ar-SA"/>
              </w:rPr>
              <w:t>1410</w:t>
            </w:r>
          </w:p>
        </w:tc>
        <w:tc>
          <w:tcPr>
            <w:tcW w:w="1135" w:type="dxa"/>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296100</w:t>
            </w:r>
          </w:p>
        </w:tc>
        <w:tc>
          <w:tcPr>
            <w:tcW w:w="1271" w:type="dxa"/>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300</w:t>
            </w:r>
          </w:p>
        </w:tc>
        <w:tc>
          <w:tcPr>
            <w:tcW w:w="2285" w:type="dxa"/>
            <w:vMerge w:val="restart"/>
            <w:noWrap w:val="0"/>
            <w:vAlign w:val="center"/>
          </w:tcPr>
          <w:p>
            <w:pPr>
              <w:spacing w:line="240" w:lineRule="auto"/>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销售物资数量均为预计量，最终结算量以现场实际过磅数量为准；</w:t>
            </w:r>
            <w:r>
              <w:rPr>
                <w:rFonts w:hint="eastAsia" w:asciiTheme="minorEastAsia" w:hAnsiTheme="minorEastAsia" w:eastAsiaTheme="minorEastAsia" w:cstheme="minorEastAsia"/>
                <w:b w:val="0"/>
                <w:bCs w:val="0"/>
                <w:color w:val="auto"/>
                <w:kern w:val="0"/>
                <w:sz w:val="24"/>
                <w:szCs w:val="24"/>
                <w:highlight w:val="none"/>
                <w:lang w:val="en-US" w:eastAsia="zh-CN"/>
              </w:rPr>
              <w:t>各标段物资投</w:t>
            </w:r>
            <w:r>
              <w:rPr>
                <w:rFonts w:hint="eastAsia" w:asciiTheme="minorEastAsia" w:hAnsiTheme="minorEastAsia" w:eastAsiaTheme="minorEastAsia" w:cstheme="minorEastAsia"/>
                <w:b w:val="0"/>
                <w:bCs w:val="0"/>
                <w:color w:val="auto"/>
                <w:kern w:val="0"/>
                <w:sz w:val="24"/>
                <w:szCs w:val="24"/>
                <w:lang w:val="en-US" w:eastAsia="zh-CN"/>
              </w:rPr>
              <w:t>标单价报价不得低于控制单价，否则将被否决投标。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1209" w:type="dxa"/>
            <w:noWrap w:val="0"/>
            <w:vAlign w:val="center"/>
          </w:tcPr>
          <w:p>
            <w:pPr>
              <w:spacing w:line="240" w:lineRule="auto"/>
              <w:jc w:val="center"/>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sz w:val="24"/>
                <w:szCs w:val="24"/>
                <w:lang w:val="en-US" w:eastAsia="zh-CN"/>
              </w:rPr>
              <w:t>标段二</w:t>
            </w:r>
          </w:p>
        </w:tc>
        <w:tc>
          <w:tcPr>
            <w:tcW w:w="1155"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sz w:val="24"/>
                <w:szCs w:val="24"/>
                <w:lang w:eastAsia="zh-CN"/>
              </w:rPr>
              <w:t>砂轮沫</w:t>
            </w:r>
          </w:p>
        </w:tc>
        <w:tc>
          <w:tcPr>
            <w:tcW w:w="936"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kern w:val="2"/>
                <w:sz w:val="24"/>
                <w:szCs w:val="24"/>
                <w:lang w:val="en-US" w:eastAsia="zh-CN" w:bidi="ar-SA"/>
              </w:rPr>
              <w:t>1500</w:t>
            </w:r>
          </w:p>
        </w:tc>
        <w:tc>
          <w:tcPr>
            <w:tcW w:w="1241"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kern w:val="2"/>
                <w:sz w:val="24"/>
                <w:szCs w:val="24"/>
                <w:lang w:val="en-US" w:eastAsia="zh-CN" w:bidi="ar-SA"/>
              </w:rPr>
              <w:t>1330</w:t>
            </w:r>
          </w:p>
        </w:tc>
        <w:tc>
          <w:tcPr>
            <w:tcW w:w="1135" w:type="dxa"/>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1995000</w:t>
            </w:r>
          </w:p>
        </w:tc>
        <w:tc>
          <w:tcPr>
            <w:tcW w:w="1271" w:type="dxa"/>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400</w:t>
            </w:r>
          </w:p>
        </w:tc>
        <w:tc>
          <w:tcPr>
            <w:tcW w:w="2285" w:type="dxa"/>
            <w:vMerge w:val="continue"/>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209" w:type="dxa"/>
            <w:noWrap w:val="0"/>
            <w:vAlign w:val="center"/>
          </w:tcPr>
          <w:p>
            <w:pPr>
              <w:spacing w:line="240" w:lineRule="auto"/>
              <w:jc w:val="center"/>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sz w:val="24"/>
                <w:szCs w:val="24"/>
                <w:lang w:val="en-US" w:eastAsia="zh-CN"/>
              </w:rPr>
              <w:t>标段三</w:t>
            </w:r>
          </w:p>
        </w:tc>
        <w:tc>
          <w:tcPr>
            <w:tcW w:w="1155"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sz w:val="24"/>
                <w:szCs w:val="24"/>
                <w:lang w:eastAsia="zh-CN"/>
              </w:rPr>
              <w:t>钢铸铁屑</w:t>
            </w:r>
          </w:p>
        </w:tc>
        <w:tc>
          <w:tcPr>
            <w:tcW w:w="936"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kern w:val="2"/>
                <w:sz w:val="24"/>
                <w:szCs w:val="24"/>
                <w:lang w:val="en-US" w:eastAsia="zh-CN" w:bidi="ar-SA"/>
              </w:rPr>
              <w:t>210</w:t>
            </w:r>
          </w:p>
        </w:tc>
        <w:tc>
          <w:tcPr>
            <w:tcW w:w="1241"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kern w:val="2"/>
                <w:sz w:val="24"/>
                <w:szCs w:val="24"/>
                <w:lang w:val="en-US" w:eastAsia="zh-CN" w:bidi="ar-SA"/>
              </w:rPr>
              <w:t>2000</w:t>
            </w:r>
          </w:p>
        </w:tc>
        <w:tc>
          <w:tcPr>
            <w:tcW w:w="1135" w:type="dxa"/>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420000</w:t>
            </w:r>
          </w:p>
        </w:tc>
        <w:tc>
          <w:tcPr>
            <w:tcW w:w="1271" w:type="dxa"/>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300</w:t>
            </w:r>
          </w:p>
        </w:tc>
        <w:tc>
          <w:tcPr>
            <w:tcW w:w="2285" w:type="dxa"/>
            <w:vMerge w:val="continue"/>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209" w:type="dxa"/>
            <w:noWrap w:val="0"/>
            <w:vAlign w:val="center"/>
          </w:tcPr>
          <w:p>
            <w:pPr>
              <w:spacing w:line="240" w:lineRule="auto"/>
              <w:jc w:val="center"/>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sz w:val="24"/>
                <w:szCs w:val="24"/>
                <w:lang w:val="en-US" w:eastAsia="zh-CN"/>
              </w:rPr>
              <w:t>标段四</w:t>
            </w:r>
          </w:p>
        </w:tc>
        <w:tc>
          <w:tcPr>
            <w:tcW w:w="1155"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sz w:val="24"/>
                <w:szCs w:val="24"/>
                <w:lang w:eastAsia="zh-CN"/>
              </w:rPr>
              <w:t>扒皮沫</w:t>
            </w:r>
          </w:p>
        </w:tc>
        <w:tc>
          <w:tcPr>
            <w:tcW w:w="936"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kern w:val="2"/>
                <w:sz w:val="24"/>
                <w:szCs w:val="24"/>
                <w:lang w:val="en-US" w:eastAsia="zh-CN" w:bidi="ar-SA"/>
              </w:rPr>
              <w:t>300</w:t>
            </w:r>
          </w:p>
        </w:tc>
        <w:tc>
          <w:tcPr>
            <w:tcW w:w="1241"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kern w:val="2"/>
                <w:sz w:val="24"/>
                <w:szCs w:val="24"/>
                <w:lang w:val="en-US" w:eastAsia="zh-CN" w:bidi="ar-SA"/>
              </w:rPr>
              <w:t>1330</w:t>
            </w:r>
          </w:p>
        </w:tc>
        <w:tc>
          <w:tcPr>
            <w:tcW w:w="1135" w:type="dxa"/>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399000</w:t>
            </w:r>
          </w:p>
        </w:tc>
        <w:tc>
          <w:tcPr>
            <w:tcW w:w="1271" w:type="dxa"/>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300</w:t>
            </w:r>
          </w:p>
        </w:tc>
        <w:tc>
          <w:tcPr>
            <w:tcW w:w="2285" w:type="dxa"/>
            <w:vMerge w:val="continue"/>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209" w:type="dxa"/>
            <w:noWrap w:val="0"/>
            <w:vAlign w:val="center"/>
          </w:tcPr>
          <w:p>
            <w:pPr>
              <w:spacing w:line="240" w:lineRule="auto"/>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标段五</w:t>
            </w:r>
          </w:p>
        </w:tc>
        <w:tc>
          <w:tcPr>
            <w:tcW w:w="1155"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sz w:val="24"/>
                <w:szCs w:val="24"/>
                <w:lang w:eastAsia="zh-CN"/>
              </w:rPr>
              <w:t>废石墨电极</w:t>
            </w:r>
          </w:p>
        </w:tc>
        <w:tc>
          <w:tcPr>
            <w:tcW w:w="936"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kern w:val="2"/>
                <w:sz w:val="24"/>
                <w:szCs w:val="24"/>
                <w:lang w:val="en-US" w:eastAsia="zh-CN" w:bidi="ar-SA"/>
              </w:rPr>
              <w:t>30</w:t>
            </w:r>
          </w:p>
        </w:tc>
        <w:tc>
          <w:tcPr>
            <w:tcW w:w="1241"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kern w:val="2"/>
                <w:sz w:val="24"/>
                <w:szCs w:val="24"/>
                <w:lang w:val="en-US" w:eastAsia="zh-CN" w:bidi="ar-SA"/>
              </w:rPr>
              <w:t>4800</w:t>
            </w:r>
          </w:p>
        </w:tc>
        <w:tc>
          <w:tcPr>
            <w:tcW w:w="1135" w:type="dxa"/>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144000</w:t>
            </w:r>
          </w:p>
        </w:tc>
        <w:tc>
          <w:tcPr>
            <w:tcW w:w="1271" w:type="dxa"/>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200</w:t>
            </w:r>
          </w:p>
        </w:tc>
        <w:tc>
          <w:tcPr>
            <w:tcW w:w="2285" w:type="dxa"/>
            <w:vMerge w:val="continue"/>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209" w:type="dxa"/>
            <w:noWrap w:val="0"/>
            <w:vAlign w:val="center"/>
          </w:tcPr>
          <w:p>
            <w:pPr>
              <w:spacing w:line="240" w:lineRule="auto"/>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标段六</w:t>
            </w:r>
          </w:p>
        </w:tc>
        <w:tc>
          <w:tcPr>
            <w:tcW w:w="1155"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sz w:val="24"/>
                <w:szCs w:val="24"/>
                <w:lang w:eastAsia="zh-CN"/>
              </w:rPr>
              <w:t>废铅</w:t>
            </w:r>
          </w:p>
        </w:tc>
        <w:tc>
          <w:tcPr>
            <w:tcW w:w="936"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kern w:val="2"/>
                <w:sz w:val="24"/>
                <w:szCs w:val="24"/>
                <w:lang w:val="en-US" w:eastAsia="zh-CN" w:bidi="ar-SA"/>
              </w:rPr>
              <w:t>1</w:t>
            </w:r>
          </w:p>
        </w:tc>
        <w:tc>
          <w:tcPr>
            <w:tcW w:w="1241"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kern w:val="2"/>
                <w:sz w:val="24"/>
                <w:szCs w:val="24"/>
                <w:lang w:val="en-US" w:eastAsia="zh-CN" w:bidi="ar-SA"/>
              </w:rPr>
              <w:t>11400</w:t>
            </w:r>
          </w:p>
        </w:tc>
        <w:tc>
          <w:tcPr>
            <w:tcW w:w="1135" w:type="dxa"/>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11400</w:t>
            </w:r>
          </w:p>
        </w:tc>
        <w:tc>
          <w:tcPr>
            <w:tcW w:w="1271" w:type="dxa"/>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200</w:t>
            </w:r>
          </w:p>
        </w:tc>
        <w:tc>
          <w:tcPr>
            <w:tcW w:w="2285" w:type="dxa"/>
            <w:vMerge w:val="continue"/>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p>
        </w:tc>
      </w:tr>
    </w:tbl>
    <w:p>
      <w:pPr>
        <w:spacing w:line="360" w:lineRule="auto"/>
        <w:ind w:firstLine="482" w:firstLineChars="200"/>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销售及计价模式：</w:t>
      </w:r>
    </w:p>
    <w:p>
      <w:pPr>
        <w:spacing w:line="360" w:lineRule="auto"/>
        <w:ind w:firstLine="482" w:firstLineChars="200"/>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1、本次提供报价物资表的各种</w:t>
      </w:r>
      <w:r>
        <w:rPr>
          <w:rFonts w:hint="eastAsia" w:asciiTheme="minorEastAsia" w:hAnsiTheme="minorEastAsia" w:eastAsiaTheme="minorEastAsia" w:cstheme="minorEastAsia"/>
          <w:b/>
          <w:bCs w:val="0"/>
          <w:color w:val="auto"/>
          <w:sz w:val="24"/>
          <w:szCs w:val="24"/>
          <w:highlight w:val="none"/>
          <w:lang w:val="en-US" w:eastAsia="zh-CN"/>
        </w:rPr>
        <w:t>物资</w:t>
      </w:r>
      <w:r>
        <w:rPr>
          <w:rFonts w:hint="eastAsia" w:asciiTheme="minorEastAsia" w:hAnsiTheme="minorEastAsia" w:eastAsiaTheme="minorEastAsia" w:cstheme="minorEastAsia"/>
          <w:b/>
          <w:bCs w:val="0"/>
          <w:color w:val="auto"/>
          <w:sz w:val="24"/>
          <w:szCs w:val="24"/>
          <w:highlight w:val="none"/>
        </w:rPr>
        <w:t>，以竞价最高的中标为原则；</w:t>
      </w:r>
    </w:p>
    <w:p>
      <w:pPr>
        <w:spacing w:line="360" w:lineRule="auto"/>
        <w:ind w:firstLine="482" w:firstLineChars="200"/>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2、各竞标单位必须亲自去现场查看实物拍照确认后方可竞标报价；</w:t>
      </w:r>
    </w:p>
    <w:p>
      <w:pPr>
        <w:spacing w:line="360" w:lineRule="auto"/>
        <w:ind w:firstLine="482" w:firstLineChars="200"/>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3、中标单位签订合同后，按照先款后货的原则办理成交手续即可提货；</w:t>
      </w:r>
    </w:p>
    <w:p>
      <w:pPr>
        <w:spacing w:line="360" w:lineRule="auto"/>
        <w:ind w:firstLine="482" w:firstLineChars="200"/>
        <w:rPr>
          <w:rStyle w:val="39"/>
          <w:rFonts w:hint="eastAsia" w:hAnsi="宋体" w:eastAsia="宋体" w:cs="宋体"/>
          <w:color w:val="auto"/>
          <w:sz w:val="32"/>
          <w:szCs w:val="32"/>
          <w:lang w:eastAsia="zh-CN"/>
        </w:rPr>
      </w:pPr>
      <w:r>
        <w:rPr>
          <w:rFonts w:hint="eastAsia" w:asciiTheme="minorEastAsia" w:hAnsiTheme="minorEastAsia" w:eastAsiaTheme="minorEastAsia" w:cstheme="minorEastAsia"/>
          <w:b/>
          <w:bCs w:val="0"/>
          <w:color w:val="auto"/>
          <w:sz w:val="24"/>
          <w:szCs w:val="24"/>
          <w:highlight w:val="none"/>
        </w:rPr>
        <w:t>4、销售物资以我公司现场实际过磅数量为准，按照我公司过磅单进行月度结算。</w:t>
      </w:r>
      <w:bookmarkEnd w:id="226"/>
      <w:bookmarkEnd w:id="227"/>
    </w:p>
    <w:p>
      <w:pPr>
        <w:spacing w:line="360" w:lineRule="auto"/>
        <w:jc w:val="center"/>
        <w:outlineLvl w:val="0"/>
        <w:rPr>
          <w:rStyle w:val="39"/>
          <w:rFonts w:hint="eastAsia" w:hAnsi="宋体" w:cs="宋体"/>
          <w:color w:val="auto"/>
          <w:sz w:val="32"/>
          <w:szCs w:val="32"/>
        </w:rPr>
      </w:pPr>
      <w:bookmarkStart w:id="228" w:name="_Toc3655"/>
      <w:r>
        <w:rPr>
          <w:rStyle w:val="39"/>
          <w:rFonts w:hint="eastAsia" w:hAnsi="宋体" w:cs="宋体"/>
          <w:color w:val="auto"/>
          <w:sz w:val="32"/>
          <w:szCs w:val="32"/>
        </w:rPr>
        <w:br w:type="page"/>
      </w:r>
      <w:r>
        <w:rPr>
          <w:rStyle w:val="39"/>
          <w:rFonts w:hint="eastAsia" w:hAnsi="宋体" w:cs="宋体"/>
          <w:color w:val="auto"/>
          <w:sz w:val="32"/>
          <w:szCs w:val="32"/>
        </w:rPr>
        <w:t>第五章 投标文件格式</w:t>
      </w:r>
      <w:bookmarkEnd w:id="228"/>
    </w:p>
    <w:p>
      <w:pPr>
        <w:spacing w:line="400" w:lineRule="exact"/>
        <w:contextualSpacing/>
        <w:rPr>
          <w:rFonts w:ascii="宋体" w:hAnsi="宋体"/>
          <w:color w:val="auto"/>
          <w:sz w:val="24"/>
        </w:rPr>
      </w:pPr>
      <w:bookmarkStart w:id="229" w:name="_Toc10881"/>
      <w:bookmarkStart w:id="230" w:name="_Toc9051"/>
      <w:bookmarkStart w:id="231" w:name="_Toc5278"/>
      <w:bookmarkStart w:id="232" w:name="_Toc32275"/>
      <w:bookmarkStart w:id="233" w:name="_Toc8993"/>
      <w:bookmarkStart w:id="234" w:name="_Toc303945516"/>
      <w:bookmarkStart w:id="235" w:name="_Toc303945955"/>
      <w:r>
        <w:rPr>
          <w:rFonts w:hint="eastAsia"/>
          <w:b/>
          <w:bCs/>
          <w:color w:val="auto"/>
          <w:sz w:val="24"/>
        </w:rPr>
        <w:t>一、</w:t>
      </w:r>
      <w:bookmarkEnd w:id="229"/>
      <w:bookmarkEnd w:id="230"/>
      <w:bookmarkEnd w:id="231"/>
      <w:bookmarkEnd w:id="232"/>
      <w:r>
        <w:rPr>
          <w:rFonts w:hint="eastAsia"/>
          <w:b/>
          <w:bCs/>
          <w:color w:val="auto"/>
          <w:sz w:val="24"/>
        </w:rPr>
        <w:t>报价要求</w:t>
      </w:r>
      <w:bookmarkEnd w:id="233"/>
    </w:p>
    <w:p>
      <w:pPr>
        <w:keepNext w:val="0"/>
        <w:keepLines w:val="0"/>
        <w:pageBreakBefore w:val="0"/>
        <w:widowControl/>
        <w:suppressLineNumbers w:val="0"/>
        <w:tabs>
          <w:tab w:val="left" w:pos="220"/>
          <w:tab w:val="center" w:pos="4741"/>
        </w:tabs>
        <w:kinsoku/>
        <w:wordWrap/>
        <w:overflowPunct/>
        <w:autoSpaceDE/>
        <w:autoSpaceDN/>
        <w:bidi w:val="0"/>
        <w:adjustRightInd/>
        <w:snapToGrid/>
        <w:spacing w:line="360" w:lineRule="auto"/>
        <w:ind w:firstLine="480" w:firstLineChars="200"/>
        <w:jc w:val="left"/>
        <w:textAlignment w:val="center"/>
        <w:rPr>
          <w:rFonts w:hint="eastAsia" w:ascii="宋体" w:hAnsi="宋体" w:eastAsia="宋体" w:cs="Times New Roman"/>
          <w:color w:val="auto"/>
          <w:kern w:val="0"/>
          <w:sz w:val="24"/>
          <w:szCs w:val="24"/>
          <w:shd w:val="clear" w:color="auto" w:fill="FFFFFF"/>
          <w:lang w:val="en-GB" w:eastAsia="zh-CN" w:bidi="ar-SA"/>
        </w:rPr>
      </w:pPr>
      <w:r>
        <w:rPr>
          <w:rFonts w:hint="eastAsia" w:ascii="宋体" w:hAnsi="宋体" w:eastAsia="宋体" w:cs="Times New Roman"/>
          <w:color w:val="auto"/>
          <w:kern w:val="0"/>
          <w:sz w:val="24"/>
          <w:szCs w:val="24"/>
          <w:shd w:val="clear" w:color="auto" w:fill="FFFFFF"/>
          <w:lang w:val="en-US" w:eastAsia="zh-CN" w:bidi="ar-SA"/>
        </w:rPr>
        <w:t>各投标人可就一个或多个标段投标，并允许同时中标多个标段；每一标段各投标人仅有一次报价机会，最高价中标（即投标文件中的报价为最终报价，若最高报价有相同的，则仅允许最高报价相同的投标人再次报价，直至确定最高报价投标人即可）。报价</w:t>
      </w:r>
      <w:r>
        <w:rPr>
          <w:rFonts w:hint="eastAsia" w:ascii="宋体" w:hAnsi="宋体" w:eastAsia="宋体" w:cs="Times New Roman"/>
          <w:color w:val="auto"/>
          <w:kern w:val="0"/>
          <w:sz w:val="24"/>
          <w:szCs w:val="24"/>
          <w:shd w:val="clear" w:color="auto" w:fill="FFFFFF"/>
          <w:lang w:val="en-GB" w:eastAsia="zh-CN" w:bidi="ar-SA"/>
        </w:rPr>
        <w:t>为投标人已经考虑合同约定范围内的风险因素后的费用，国家有关取费标准、市场发生调整时，将不导致此项目总价的变化。</w:t>
      </w:r>
    </w:p>
    <w:p>
      <w:pPr>
        <w:tabs>
          <w:tab w:val="center" w:pos="4150"/>
        </w:tabs>
        <w:spacing w:line="400" w:lineRule="exact"/>
        <w:contextualSpacing/>
        <w:rPr>
          <w:rFonts w:hint="eastAsia" w:ascii="宋体" w:hAnsi="宋体" w:eastAsia="宋体"/>
          <w:color w:val="auto"/>
          <w:sz w:val="24"/>
          <w:lang w:eastAsia="zh-CN"/>
        </w:rPr>
      </w:pPr>
      <w:bookmarkStart w:id="236" w:name="_Toc22974"/>
      <w:bookmarkStart w:id="237" w:name="_Toc2075"/>
      <w:bookmarkStart w:id="238" w:name="_Toc16578"/>
      <w:bookmarkStart w:id="239" w:name="_Toc30797"/>
      <w:bookmarkStart w:id="240" w:name="_Toc27767"/>
      <w:r>
        <w:rPr>
          <w:rFonts w:hint="eastAsia"/>
          <w:b/>
          <w:bCs/>
          <w:color w:val="auto"/>
          <w:sz w:val="24"/>
        </w:rPr>
        <w:t>二、投标函和授权委托书</w:t>
      </w:r>
      <w:bookmarkEnd w:id="236"/>
      <w:bookmarkEnd w:id="237"/>
      <w:bookmarkEnd w:id="238"/>
      <w:bookmarkEnd w:id="239"/>
      <w:bookmarkEnd w:id="240"/>
      <w:r>
        <w:rPr>
          <w:rFonts w:hint="eastAsia"/>
          <w:b/>
          <w:bCs/>
          <w:color w:val="auto"/>
          <w:sz w:val="24"/>
          <w:lang w:eastAsia="zh-CN"/>
        </w:rPr>
        <w:tab/>
      </w:r>
    </w:p>
    <w:p>
      <w:pPr>
        <w:pStyle w:val="41"/>
        <w:spacing w:beforeLines="50" w:afterLines="50" w:line="400" w:lineRule="exact"/>
        <w:ind w:left="-561" w:firstLine="960" w:firstLineChars="400"/>
        <w:contextualSpacing/>
        <w:jc w:val="both"/>
        <w:rPr>
          <w:rFonts w:ascii="宋体" w:hAnsi="宋体" w:eastAsia="宋体"/>
          <w:color w:val="auto"/>
          <w:sz w:val="24"/>
          <w:szCs w:val="24"/>
          <w:lang w:val="en-GB"/>
        </w:rPr>
      </w:pPr>
      <w:r>
        <w:rPr>
          <w:rFonts w:hint="eastAsia" w:ascii="宋体" w:hAnsi="宋体" w:eastAsia="宋体"/>
          <w:color w:val="auto"/>
          <w:sz w:val="24"/>
          <w:szCs w:val="24"/>
          <w:lang w:val="en-GB"/>
        </w:rPr>
        <w:t>投标人应提供投标函，其格式详见本章附件</w:t>
      </w:r>
      <w:r>
        <w:rPr>
          <w:rFonts w:hint="eastAsia" w:ascii="宋体" w:hAnsi="宋体" w:eastAsia="宋体"/>
          <w:color w:val="auto"/>
          <w:sz w:val="24"/>
          <w:szCs w:val="24"/>
          <w:lang w:val="en-US" w:eastAsia="zh-CN"/>
        </w:rPr>
        <w:t>2</w:t>
      </w:r>
      <w:r>
        <w:rPr>
          <w:rFonts w:hint="eastAsia" w:ascii="宋体" w:hAnsi="宋体" w:eastAsia="宋体"/>
          <w:color w:val="auto"/>
          <w:sz w:val="24"/>
          <w:szCs w:val="24"/>
          <w:lang w:val="en-GB"/>
        </w:rPr>
        <w:t>。在投标函后面应附上投标人的法定代表人证明或法人授权委托书（法定代表人身份证复印件或法人授权委托代表人身份证正反面复印件），其格式详见本章附件</w:t>
      </w:r>
      <w:r>
        <w:rPr>
          <w:rFonts w:hint="eastAsia" w:ascii="宋体" w:hAnsi="宋体" w:eastAsia="宋体"/>
          <w:color w:val="auto"/>
          <w:sz w:val="24"/>
          <w:szCs w:val="24"/>
          <w:lang w:val="en-US" w:eastAsia="zh-CN"/>
        </w:rPr>
        <w:t>3</w:t>
      </w:r>
      <w:r>
        <w:rPr>
          <w:rFonts w:hint="eastAsia" w:ascii="宋体" w:hAnsi="宋体" w:eastAsia="宋体"/>
          <w:color w:val="auto"/>
          <w:sz w:val="24"/>
          <w:szCs w:val="24"/>
          <w:lang w:val="en-GB"/>
        </w:rPr>
        <w:t>。</w:t>
      </w:r>
    </w:p>
    <w:p>
      <w:pPr>
        <w:spacing w:line="400" w:lineRule="exact"/>
        <w:contextualSpacing/>
        <w:rPr>
          <w:rFonts w:ascii="宋体" w:hAnsi="宋体"/>
          <w:color w:val="auto"/>
          <w:sz w:val="24"/>
        </w:rPr>
      </w:pPr>
      <w:bookmarkStart w:id="241" w:name="_Toc6728"/>
      <w:bookmarkStart w:id="242" w:name="_Toc6810"/>
      <w:bookmarkStart w:id="243" w:name="_Toc24672"/>
      <w:r>
        <w:rPr>
          <w:rFonts w:hint="eastAsia"/>
          <w:b/>
          <w:bCs/>
          <w:color w:val="auto"/>
          <w:sz w:val="24"/>
        </w:rPr>
        <w:t>三、</w:t>
      </w:r>
      <w:bookmarkEnd w:id="241"/>
      <w:bookmarkEnd w:id="242"/>
      <w:bookmarkStart w:id="244" w:name="_Toc8506"/>
      <w:bookmarkStart w:id="245" w:name="_Toc20121"/>
      <w:bookmarkStart w:id="246" w:name="_Toc17463"/>
      <w:bookmarkStart w:id="247" w:name="_Toc28415"/>
      <w:r>
        <w:rPr>
          <w:rFonts w:hint="eastAsia"/>
          <w:b/>
          <w:bCs/>
          <w:color w:val="auto"/>
          <w:sz w:val="24"/>
        </w:rPr>
        <w:t>投标报价</w:t>
      </w:r>
      <w:bookmarkEnd w:id="243"/>
      <w:bookmarkEnd w:id="244"/>
      <w:bookmarkEnd w:id="245"/>
      <w:bookmarkEnd w:id="246"/>
      <w:bookmarkEnd w:id="247"/>
    </w:p>
    <w:p>
      <w:pPr>
        <w:pStyle w:val="41"/>
        <w:spacing w:beforeLines="50" w:afterLines="50" w:line="400" w:lineRule="exact"/>
        <w:ind w:firstLine="480" w:firstLineChars="200"/>
        <w:contextualSpacing/>
        <w:rPr>
          <w:rFonts w:ascii="宋体" w:hAnsi="宋体" w:eastAsia="宋体"/>
          <w:color w:val="auto"/>
          <w:sz w:val="24"/>
          <w:szCs w:val="24"/>
          <w:lang w:val="en-GB"/>
        </w:rPr>
      </w:pPr>
      <w:r>
        <w:rPr>
          <w:rFonts w:hint="eastAsia" w:ascii="宋体" w:hAnsi="宋体" w:eastAsia="宋体"/>
          <w:color w:val="auto"/>
          <w:sz w:val="24"/>
          <w:szCs w:val="24"/>
          <w:lang w:val="en-GB"/>
        </w:rPr>
        <w:t>投标人应按附件</w:t>
      </w:r>
      <w:r>
        <w:rPr>
          <w:rFonts w:hint="eastAsia" w:ascii="宋体" w:hAnsi="宋体" w:eastAsia="宋体"/>
          <w:color w:val="auto"/>
          <w:sz w:val="24"/>
          <w:szCs w:val="24"/>
          <w:lang w:val="en-US" w:eastAsia="zh-CN"/>
        </w:rPr>
        <w:t>4</w:t>
      </w:r>
      <w:r>
        <w:rPr>
          <w:rFonts w:hint="eastAsia" w:ascii="宋体" w:hAnsi="宋体" w:eastAsia="宋体"/>
          <w:color w:val="auto"/>
          <w:sz w:val="24"/>
          <w:szCs w:val="24"/>
          <w:lang w:val="en-GB"/>
        </w:rPr>
        <w:t>提供的报价表格式填报价格，投标人的报价应包括本招标文件及其附件中要求的全部内容。</w:t>
      </w:r>
    </w:p>
    <w:p>
      <w:pPr>
        <w:pStyle w:val="41"/>
        <w:spacing w:beforeLines="50" w:afterLines="50" w:line="400" w:lineRule="exact"/>
        <w:ind w:firstLine="480" w:firstLineChars="200"/>
        <w:contextualSpacing/>
        <w:rPr>
          <w:rFonts w:ascii="宋体" w:hAnsi="宋体" w:eastAsia="宋体"/>
          <w:color w:val="auto"/>
          <w:sz w:val="24"/>
          <w:szCs w:val="24"/>
          <w:lang w:val="en-GB"/>
        </w:rPr>
      </w:pPr>
      <w:r>
        <w:rPr>
          <w:rFonts w:hint="eastAsia" w:ascii="宋体" w:hAnsi="宋体" w:eastAsia="宋体"/>
          <w:color w:val="auto"/>
          <w:sz w:val="24"/>
          <w:szCs w:val="24"/>
          <w:lang w:val="en-GB"/>
        </w:rPr>
        <w:t>除附件</w:t>
      </w:r>
      <w:r>
        <w:rPr>
          <w:rFonts w:hint="eastAsia" w:ascii="宋体" w:hAnsi="宋体" w:eastAsia="宋体"/>
          <w:color w:val="auto"/>
          <w:sz w:val="24"/>
          <w:szCs w:val="24"/>
          <w:lang w:val="en-US" w:eastAsia="zh-CN"/>
        </w:rPr>
        <w:t>4</w:t>
      </w:r>
      <w:r>
        <w:rPr>
          <w:rFonts w:hint="eastAsia" w:ascii="宋体" w:hAnsi="宋体" w:eastAsia="宋体"/>
          <w:color w:val="auto"/>
          <w:sz w:val="24"/>
          <w:szCs w:val="24"/>
          <w:lang w:val="en-GB"/>
        </w:rPr>
        <w:t>外，在投标文件有效期内和合同执行期间（如中标），投标报价（计价系数）不能降低，且被视为已完全包括了招标文件中要求的全部工作和服务内容，但本招标文件另有规定的除外。</w:t>
      </w:r>
    </w:p>
    <w:p>
      <w:pPr>
        <w:spacing w:line="400" w:lineRule="exact"/>
        <w:contextualSpacing/>
        <w:rPr>
          <w:rFonts w:ascii="宋体" w:hAnsi="宋体"/>
          <w:color w:val="auto"/>
          <w:sz w:val="24"/>
          <w:lang w:val="en-GB"/>
        </w:rPr>
      </w:pPr>
      <w:bookmarkStart w:id="248" w:name="_Toc24146"/>
      <w:r>
        <w:rPr>
          <w:rFonts w:hint="eastAsia"/>
          <w:b/>
          <w:bCs/>
          <w:color w:val="auto"/>
          <w:sz w:val="24"/>
        </w:rPr>
        <w:t>四、</w:t>
      </w:r>
      <w:r>
        <w:rPr>
          <w:rFonts w:hint="eastAsia"/>
          <w:b/>
          <w:bCs/>
          <w:color w:val="auto"/>
          <w:sz w:val="24"/>
          <w:lang w:val="en-GB"/>
        </w:rPr>
        <w:t>投标文件包括但不仅限于以下内容：</w:t>
      </w:r>
      <w:bookmarkEnd w:id="248"/>
    </w:p>
    <w:p>
      <w:pPr>
        <w:numPr>
          <w:ilvl w:val="0"/>
          <w:numId w:val="4"/>
        </w:numPr>
        <w:spacing w:line="400" w:lineRule="exact"/>
        <w:ind w:firstLine="480" w:firstLineChars="200"/>
        <w:contextualSpacing/>
        <w:rPr>
          <w:rFonts w:ascii="宋体" w:hAnsi="宋体"/>
          <w:color w:val="auto"/>
          <w:sz w:val="24"/>
          <w:lang w:val="en-GB"/>
        </w:rPr>
      </w:pPr>
      <w:r>
        <w:rPr>
          <w:rFonts w:hint="eastAsia" w:ascii="宋体" w:hAnsi="宋体"/>
          <w:color w:val="auto"/>
          <w:sz w:val="24"/>
        </w:rPr>
        <w:t>投标企业情况简介，</w:t>
      </w:r>
      <w:r>
        <w:rPr>
          <w:rFonts w:hint="eastAsia" w:ascii="宋体" w:hAnsi="宋体"/>
          <w:color w:val="auto"/>
          <w:sz w:val="24"/>
          <w:lang w:val="en-GB"/>
        </w:rPr>
        <w:t>企业</w:t>
      </w:r>
      <w:r>
        <w:rPr>
          <w:rFonts w:hint="eastAsia" w:ascii="宋体" w:hAnsi="宋体"/>
          <w:color w:val="auto"/>
          <w:sz w:val="24"/>
          <w:lang w:val="en-US" w:eastAsia="zh-CN"/>
        </w:rPr>
        <w:t>营业执照</w:t>
      </w:r>
      <w:r>
        <w:rPr>
          <w:rFonts w:hint="eastAsia" w:ascii="宋体" w:hAnsi="宋体"/>
          <w:color w:val="auto"/>
          <w:sz w:val="24"/>
          <w:lang w:val="en-GB"/>
        </w:rPr>
        <w:t>以及合作运输企业情况介绍（包括人员、资质、应急预案等内容）；</w:t>
      </w:r>
    </w:p>
    <w:p>
      <w:pPr>
        <w:numPr>
          <w:ilvl w:val="0"/>
          <w:numId w:val="4"/>
        </w:numPr>
        <w:spacing w:line="400" w:lineRule="exact"/>
        <w:ind w:firstLine="480" w:firstLineChars="200"/>
        <w:contextualSpacing/>
        <w:rPr>
          <w:rFonts w:ascii="宋体" w:hAnsi="宋体"/>
          <w:color w:val="auto"/>
          <w:sz w:val="24"/>
        </w:rPr>
      </w:pPr>
      <w:r>
        <w:rPr>
          <w:rFonts w:hint="eastAsia" w:ascii="宋体" w:hAnsi="宋体"/>
          <w:color w:val="auto"/>
          <w:kern w:val="0"/>
          <w:sz w:val="24"/>
          <w:shd w:val="clear" w:color="auto" w:fill="FFFFFF"/>
          <w:lang w:val="en-GB"/>
        </w:rPr>
        <w:t>商务偏离：投标人须将商务标书中任何与招标文件要求的任何不一致之处在附件</w:t>
      </w:r>
      <w:r>
        <w:rPr>
          <w:rFonts w:hint="eastAsia" w:ascii="宋体" w:hAnsi="宋体"/>
          <w:color w:val="auto"/>
          <w:kern w:val="0"/>
          <w:sz w:val="24"/>
          <w:shd w:val="clear" w:color="auto" w:fill="FFFFFF"/>
        </w:rPr>
        <w:t>4</w:t>
      </w:r>
      <w:r>
        <w:rPr>
          <w:rFonts w:hint="eastAsia" w:ascii="宋体" w:hAnsi="宋体"/>
          <w:color w:val="auto"/>
          <w:kern w:val="0"/>
          <w:sz w:val="24"/>
          <w:shd w:val="clear" w:color="auto" w:fill="FFFFFF"/>
          <w:lang w:val="en-GB"/>
        </w:rPr>
        <w:t>商务偏离表格式中列明；</w:t>
      </w:r>
    </w:p>
    <w:p>
      <w:pPr>
        <w:numPr>
          <w:ilvl w:val="0"/>
          <w:numId w:val="4"/>
        </w:numPr>
        <w:spacing w:line="400" w:lineRule="exact"/>
        <w:ind w:firstLine="480" w:firstLineChars="200"/>
        <w:contextualSpacing/>
        <w:rPr>
          <w:rFonts w:ascii="宋体" w:hAnsi="宋体"/>
          <w:color w:val="auto"/>
          <w:sz w:val="24"/>
        </w:rPr>
      </w:pPr>
      <w:r>
        <w:rPr>
          <w:rFonts w:hint="eastAsia" w:ascii="宋体" w:hAnsi="宋体"/>
          <w:color w:val="auto"/>
          <w:sz w:val="24"/>
          <w:lang w:val="en-GB"/>
        </w:rPr>
        <w:t>其他相关投标资料、文件。</w:t>
      </w:r>
    </w:p>
    <w:p>
      <w:pPr>
        <w:pStyle w:val="41"/>
        <w:spacing w:beforeLines="50" w:afterLines="50" w:line="360" w:lineRule="auto"/>
        <w:ind w:firstLine="0"/>
        <w:rPr>
          <w:rFonts w:hint="eastAsia" w:ascii="宋体" w:hAnsi="宋体" w:eastAsia="宋体" w:cs="宋体"/>
          <w:b/>
          <w:bCs/>
          <w:color w:val="auto"/>
          <w:sz w:val="28"/>
          <w:szCs w:val="28"/>
        </w:rPr>
      </w:pPr>
    </w:p>
    <w:p>
      <w:pPr>
        <w:pStyle w:val="41"/>
        <w:spacing w:beforeLines="50" w:afterLines="50" w:line="360" w:lineRule="auto"/>
        <w:ind w:firstLine="0"/>
        <w:rPr>
          <w:rFonts w:hint="eastAsia" w:ascii="宋体" w:hAnsi="宋体" w:eastAsia="宋体" w:cs="宋体"/>
          <w:b/>
          <w:bCs/>
          <w:color w:val="auto"/>
          <w:sz w:val="28"/>
          <w:szCs w:val="28"/>
        </w:rPr>
      </w:pPr>
    </w:p>
    <w:p>
      <w:pPr>
        <w:pStyle w:val="41"/>
        <w:spacing w:beforeLines="50" w:afterLines="50" w:line="360" w:lineRule="auto"/>
        <w:ind w:firstLine="0"/>
        <w:rPr>
          <w:rFonts w:hint="eastAsia" w:ascii="宋体" w:hAnsi="宋体" w:eastAsia="宋体" w:cs="宋体"/>
          <w:b/>
          <w:bCs/>
          <w:color w:val="auto"/>
          <w:sz w:val="28"/>
          <w:szCs w:val="28"/>
        </w:rPr>
      </w:pPr>
    </w:p>
    <w:p>
      <w:pPr>
        <w:pStyle w:val="41"/>
        <w:spacing w:beforeLines="50" w:afterLines="50" w:line="360" w:lineRule="auto"/>
        <w:ind w:firstLine="0"/>
        <w:rPr>
          <w:rFonts w:hint="eastAsia" w:ascii="宋体" w:hAnsi="宋体" w:eastAsia="宋体" w:cs="宋体"/>
          <w:b/>
          <w:bCs/>
          <w:color w:val="auto"/>
          <w:sz w:val="28"/>
          <w:szCs w:val="28"/>
        </w:rPr>
      </w:pPr>
    </w:p>
    <w:p>
      <w:pPr>
        <w:pStyle w:val="41"/>
        <w:spacing w:beforeLines="50" w:afterLines="50" w:line="360" w:lineRule="auto"/>
        <w:ind w:firstLine="0"/>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rPr>
        <w:t>附件1</w:t>
      </w:r>
      <w:r>
        <w:rPr>
          <w:rFonts w:hint="eastAsia" w:ascii="宋体" w:hAnsi="宋体" w:eastAsia="宋体" w:cs="宋体"/>
          <w:b/>
          <w:bCs/>
          <w:color w:val="auto"/>
          <w:sz w:val="28"/>
          <w:szCs w:val="28"/>
          <w:lang w:val="en-US" w:eastAsia="zh-CN"/>
        </w:rPr>
        <w:t xml:space="preserve">  </w:t>
      </w:r>
      <w:r>
        <w:rPr>
          <w:rFonts w:hint="eastAsia" w:ascii="宋体" w:hAnsi="宋体" w:cs="宋体"/>
          <w:b/>
          <w:bCs/>
          <w:color w:val="auto"/>
          <w:sz w:val="28"/>
          <w:szCs w:val="28"/>
          <w:lang w:val="en-US" w:eastAsia="zh-CN"/>
        </w:rPr>
        <w:t>封面</w:t>
      </w:r>
    </w:p>
    <w:p>
      <w:pPr>
        <w:jc w:val="center"/>
        <w:rPr>
          <w:rStyle w:val="39"/>
          <w:rFonts w:hint="eastAsia" w:hAnsi="宋体" w:cs="宋体"/>
          <w:color w:val="auto"/>
          <w:sz w:val="32"/>
          <w:szCs w:val="32"/>
          <w:lang w:eastAsia="zh-CN"/>
        </w:rPr>
      </w:pPr>
      <w:r>
        <w:rPr>
          <w:rFonts w:hint="eastAsia" w:ascii="宋体" w:hAnsi="宋体" w:eastAsia="宋体" w:cs="宋体"/>
          <w:b/>
          <w:bCs/>
          <w:color w:val="auto"/>
          <w:sz w:val="28"/>
          <w:szCs w:val="28"/>
        </w:rPr>
        <w:t xml:space="preserve"> </w:t>
      </w:r>
      <w:r>
        <w:rPr>
          <w:rStyle w:val="39"/>
          <w:rFonts w:hint="eastAsia" w:hAnsi="宋体" w:cs="宋体"/>
          <w:color w:val="auto"/>
          <w:sz w:val="32"/>
          <w:szCs w:val="32"/>
          <w:lang w:eastAsia="zh-CN"/>
        </w:rPr>
        <w:t xml:space="preserve"> 青海西钢再生资源综合利用开发有限公司</w:t>
      </w:r>
      <w:r>
        <w:rPr>
          <w:rStyle w:val="39"/>
          <w:rFonts w:hint="eastAsia" w:hAnsi="宋体" w:cs="宋体"/>
          <w:color w:val="auto"/>
          <w:sz w:val="32"/>
          <w:szCs w:val="32"/>
          <w:lang w:val="en-US" w:eastAsia="zh-CN"/>
        </w:rPr>
        <w:t>2021年7月废旧物资销售</w:t>
      </w:r>
      <w:r>
        <w:rPr>
          <w:rStyle w:val="39"/>
          <w:rFonts w:hint="eastAsia" w:hAnsi="宋体" w:cs="宋体"/>
          <w:color w:val="auto"/>
          <w:sz w:val="32"/>
          <w:szCs w:val="32"/>
          <w:lang w:eastAsia="zh-CN"/>
        </w:rPr>
        <w:t>项目</w:t>
      </w:r>
    </w:p>
    <w:p>
      <w:pPr>
        <w:spacing w:line="360" w:lineRule="auto"/>
        <w:jc w:val="center"/>
        <w:outlineLvl w:val="9"/>
        <w:rPr>
          <w:rStyle w:val="39"/>
          <w:rFonts w:hint="eastAsia" w:hAnsi="宋体" w:cs="宋体"/>
          <w:color w:val="auto"/>
          <w:sz w:val="32"/>
          <w:szCs w:val="32"/>
        </w:rPr>
      </w:pPr>
    </w:p>
    <w:p>
      <w:pPr>
        <w:jc w:val="both"/>
        <w:rPr>
          <w:rFonts w:ascii="宋体" w:hAnsi="宋体"/>
          <w:b/>
          <w:bCs/>
          <w:color w:val="auto"/>
          <w:sz w:val="32"/>
          <w:szCs w:val="32"/>
        </w:rPr>
      </w:pPr>
    </w:p>
    <w:p>
      <w:pPr>
        <w:jc w:val="center"/>
        <w:rPr>
          <w:rFonts w:hint="eastAsia" w:ascii="宋体" w:hAnsi="宋体"/>
          <w:b/>
          <w:bCs/>
          <w:color w:val="auto"/>
          <w:sz w:val="32"/>
          <w:szCs w:val="32"/>
          <w:lang w:eastAsia="zh-CN"/>
        </w:rPr>
      </w:pPr>
      <w:r>
        <w:rPr>
          <w:rFonts w:hint="eastAsia" w:ascii="宋体" w:hAnsi="宋体"/>
          <w:b/>
          <w:bCs/>
          <w:color w:val="auto"/>
          <w:sz w:val="32"/>
          <w:szCs w:val="32"/>
        </w:rPr>
        <w:t>招标编号：</w:t>
      </w:r>
      <w:r>
        <w:rPr>
          <w:rFonts w:hint="eastAsia" w:ascii="宋体" w:hAnsi="宋体"/>
          <w:b/>
          <w:bCs/>
          <w:color w:val="auto"/>
          <w:sz w:val="32"/>
          <w:szCs w:val="32"/>
          <w:lang w:eastAsia="zh-CN"/>
        </w:rPr>
        <w:t>XNTG21053</w:t>
      </w:r>
    </w:p>
    <w:p>
      <w:pPr>
        <w:jc w:val="center"/>
        <w:rPr>
          <w:rFonts w:ascii="宋体" w:hAnsi="宋体"/>
          <w:b/>
          <w:bCs/>
          <w:color w:val="auto"/>
          <w:sz w:val="52"/>
          <w:szCs w:val="52"/>
        </w:rPr>
      </w:pPr>
      <w:r>
        <w:rPr>
          <w:rFonts w:hint="eastAsia" w:ascii="宋体" w:hAnsi="宋体"/>
          <w:b/>
          <w:bCs/>
          <w:color w:val="auto"/>
          <w:sz w:val="52"/>
          <w:szCs w:val="52"/>
          <w:lang w:val="en-US" w:eastAsia="zh-CN"/>
        </w:rPr>
        <w:t>投标</w:t>
      </w:r>
      <w:r>
        <w:rPr>
          <w:rFonts w:hint="eastAsia" w:ascii="宋体" w:hAnsi="宋体"/>
          <w:b/>
          <w:bCs/>
          <w:color w:val="auto"/>
          <w:sz w:val="52"/>
          <w:szCs w:val="52"/>
        </w:rPr>
        <w:t>文件</w:t>
      </w:r>
    </w:p>
    <w:p>
      <w:pPr>
        <w:jc w:val="center"/>
        <w:rPr>
          <w:rFonts w:ascii="宋体" w:hAnsi="宋体"/>
          <w:b/>
          <w:bCs/>
          <w:color w:val="auto"/>
          <w:sz w:val="52"/>
          <w:szCs w:val="52"/>
        </w:rPr>
      </w:pPr>
    </w:p>
    <w:p>
      <w:pPr>
        <w:jc w:val="center"/>
        <w:rPr>
          <w:rFonts w:ascii="宋体" w:hAnsi="宋体"/>
          <w:b/>
          <w:bCs/>
          <w:color w:val="auto"/>
          <w:sz w:val="52"/>
          <w:szCs w:val="52"/>
        </w:rPr>
      </w:pPr>
    </w:p>
    <w:p>
      <w:pPr>
        <w:pStyle w:val="2"/>
        <w:rPr>
          <w:rFonts w:ascii="宋体" w:hAnsi="宋体"/>
          <w:b/>
          <w:bCs/>
          <w:color w:val="auto"/>
          <w:sz w:val="52"/>
          <w:szCs w:val="52"/>
        </w:rPr>
      </w:pPr>
    </w:p>
    <w:p>
      <w:pPr>
        <w:pStyle w:val="3"/>
      </w:pPr>
    </w:p>
    <w:p>
      <w:pPr>
        <w:ind w:firstLine="1440" w:firstLineChars="400"/>
        <w:jc w:val="both"/>
        <w:rPr>
          <w:rFonts w:hint="eastAsia" w:ascii="宋体" w:hAnsi="宋体"/>
          <w:color w:val="auto"/>
          <w:sz w:val="36"/>
          <w:szCs w:val="36"/>
          <w:u w:val="single"/>
          <w:lang w:val="en-US" w:eastAsia="zh-CN"/>
        </w:rPr>
      </w:pPr>
      <w:r>
        <w:rPr>
          <w:rFonts w:hint="eastAsia" w:ascii="宋体" w:hAnsi="宋体"/>
          <w:color w:val="auto"/>
          <w:sz w:val="36"/>
          <w:szCs w:val="36"/>
          <w:lang w:val="en-US" w:eastAsia="zh-CN"/>
        </w:rPr>
        <w:t>投标</w:t>
      </w:r>
      <w:r>
        <w:rPr>
          <w:rFonts w:hint="eastAsia" w:ascii="宋体" w:hAnsi="宋体"/>
          <w:color w:val="auto"/>
          <w:sz w:val="36"/>
          <w:szCs w:val="36"/>
        </w:rPr>
        <w:t>人：</w:t>
      </w:r>
      <w:r>
        <w:rPr>
          <w:rFonts w:hint="eastAsia" w:ascii="宋体" w:hAnsi="宋体"/>
          <w:color w:val="auto"/>
          <w:sz w:val="36"/>
          <w:szCs w:val="36"/>
          <w:u w:val="single"/>
          <w:lang w:val="en-US" w:eastAsia="zh-CN"/>
        </w:rPr>
        <w:t xml:space="preserve">                      （盖章）</w:t>
      </w:r>
    </w:p>
    <w:p>
      <w:pPr>
        <w:ind w:firstLine="1440" w:firstLineChars="400"/>
        <w:jc w:val="both"/>
        <w:rPr>
          <w:rFonts w:hint="eastAsia" w:ascii="宋体" w:hAnsi="宋体" w:eastAsia="宋体"/>
          <w:color w:val="auto"/>
          <w:sz w:val="36"/>
          <w:szCs w:val="36"/>
          <w:lang w:val="en-US" w:eastAsia="zh-CN"/>
        </w:rPr>
      </w:pPr>
      <w:r>
        <w:rPr>
          <w:rFonts w:hint="eastAsia" w:ascii="宋体" w:hAnsi="宋体"/>
          <w:color w:val="auto"/>
          <w:sz w:val="36"/>
          <w:szCs w:val="36"/>
          <w:lang w:val="en-US" w:eastAsia="zh-CN"/>
        </w:rPr>
        <w:t>法定代表人或委托代理人：</w:t>
      </w:r>
      <w:r>
        <w:rPr>
          <w:rFonts w:hint="eastAsia" w:ascii="宋体" w:hAnsi="宋体"/>
          <w:color w:val="auto"/>
          <w:sz w:val="36"/>
          <w:szCs w:val="36"/>
          <w:u w:val="single"/>
          <w:lang w:val="en-US" w:eastAsia="zh-CN"/>
        </w:rPr>
        <w:t xml:space="preserve">    （签字或盖章）</w:t>
      </w:r>
    </w:p>
    <w:p>
      <w:pPr>
        <w:ind w:firstLine="1440" w:firstLineChars="400"/>
        <w:jc w:val="both"/>
        <w:rPr>
          <w:rFonts w:hint="default" w:ascii="宋体" w:hAnsi="宋体" w:eastAsia="宋体"/>
          <w:color w:val="auto"/>
          <w:sz w:val="36"/>
          <w:szCs w:val="36"/>
          <w:lang w:val="en-US" w:eastAsia="zh-CN"/>
        </w:rPr>
      </w:pPr>
      <w:r>
        <w:rPr>
          <w:rFonts w:hint="eastAsia" w:ascii="宋体" w:hAnsi="宋体"/>
          <w:color w:val="auto"/>
          <w:sz w:val="36"/>
          <w:szCs w:val="36"/>
        </w:rPr>
        <w:t xml:space="preserve">时 </w:t>
      </w:r>
      <w:r>
        <w:rPr>
          <w:rFonts w:hint="eastAsia" w:ascii="宋体" w:hAnsi="宋体"/>
          <w:color w:val="auto"/>
          <w:sz w:val="36"/>
          <w:szCs w:val="36"/>
          <w:lang w:val="en-US" w:eastAsia="zh-CN"/>
        </w:rPr>
        <w:t xml:space="preserve">  </w:t>
      </w:r>
      <w:r>
        <w:rPr>
          <w:rFonts w:hint="eastAsia" w:ascii="宋体" w:hAnsi="宋体"/>
          <w:color w:val="auto"/>
          <w:sz w:val="36"/>
          <w:szCs w:val="36"/>
        </w:rPr>
        <w:t>间：</w:t>
      </w:r>
      <w:r>
        <w:rPr>
          <w:rFonts w:hint="eastAsia" w:ascii="宋体" w:hAnsi="宋体"/>
          <w:color w:val="auto"/>
          <w:sz w:val="36"/>
          <w:szCs w:val="36"/>
          <w:lang w:val="en-US" w:eastAsia="zh-CN"/>
        </w:rPr>
        <w:t xml:space="preserve">    年    月   日</w:t>
      </w:r>
    </w:p>
    <w:p>
      <w:pPr>
        <w:rPr>
          <w:color w:val="auto"/>
        </w:rPr>
      </w:pPr>
      <w:r>
        <w:rPr>
          <w:rFonts w:hint="eastAsia" w:ascii="宋体" w:hAnsi="宋体"/>
          <w:color w:val="auto"/>
          <w:sz w:val="36"/>
          <w:szCs w:val="36"/>
        </w:rPr>
        <w:br w:type="page"/>
      </w:r>
    </w:p>
    <w:p>
      <w:pPr>
        <w:pStyle w:val="41"/>
        <w:spacing w:beforeLines="50" w:afterLines="50" w:line="360" w:lineRule="auto"/>
        <w:ind w:firstLine="0"/>
        <w:outlineLvl w:val="1"/>
        <w:rPr>
          <w:rFonts w:ascii="宋体" w:hAnsi="宋体" w:eastAsia="宋体"/>
          <w:color w:val="auto"/>
          <w:sz w:val="24"/>
          <w:szCs w:val="24"/>
        </w:rPr>
      </w:pPr>
      <w:r>
        <w:rPr>
          <w:rFonts w:hint="eastAsia" w:ascii="宋体" w:hAnsi="宋体" w:eastAsia="宋体" w:cs="宋体"/>
          <w:b/>
          <w:bCs/>
          <w:color w:val="auto"/>
          <w:sz w:val="28"/>
          <w:szCs w:val="28"/>
          <w:lang w:val="en-US" w:eastAsia="zh-CN"/>
        </w:rPr>
        <w:t xml:space="preserve">附件2  </w:t>
      </w:r>
      <w:r>
        <w:rPr>
          <w:rFonts w:hint="eastAsia" w:ascii="宋体" w:hAnsi="宋体" w:eastAsia="宋体" w:cs="宋体"/>
          <w:b/>
          <w:bCs/>
          <w:color w:val="auto"/>
          <w:sz w:val="28"/>
          <w:szCs w:val="28"/>
        </w:rPr>
        <w:t>投标函</w:t>
      </w:r>
    </w:p>
    <w:p>
      <w:pPr>
        <w:pStyle w:val="41"/>
        <w:spacing w:beforeLines="50" w:afterLines="50" w:line="400" w:lineRule="exact"/>
        <w:ind w:firstLine="480" w:firstLineChars="200"/>
        <w:contextualSpacing/>
        <w:rPr>
          <w:rFonts w:ascii="宋体" w:hAnsi="宋体" w:eastAsia="宋体"/>
          <w:color w:val="auto"/>
          <w:sz w:val="24"/>
          <w:szCs w:val="24"/>
          <w:lang w:val="en-GB"/>
        </w:rPr>
      </w:pPr>
      <w:r>
        <w:rPr>
          <w:rFonts w:hint="eastAsia" w:ascii="宋体" w:hAnsi="宋体" w:eastAsia="宋体"/>
          <w:color w:val="auto"/>
          <w:sz w:val="24"/>
          <w:szCs w:val="24"/>
          <w:lang w:val="en-GB"/>
        </w:rPr>
        <w:t>项目名称：</w:t>
      </w:r>
    </w:p>
    <w:p>
      <w:pPr>
        <w:pStyle w:val="41"/>
        <w:spacing w:beforeLines="50" w:afterLines="50" w:line="400" w:lineRule="exact"/>
        <w:ind w:firstLine="480" w:firstLineChars="200"/>
        <w:contextualSpacing/>
        <w:rPr>
          <w:rFonts w:ascii="宋体" w:hAnsi="宋体" w:eastAsia="宋体"/>
          <w:color w:val="auto"/>
          <w:sz w:val="24"/>
          <w:szCs w:val="24"/>
          <w:lang w:val="en-GB"/>
        </w:rPr>
      </w:pPr>
      <w:r>
        <w:rPr>
          <w:rFonts w:hint="eastAsia" w:ascii="宋体" w:hAnsi="宋体" w:eastAsia="宋体"/>
          <w:color w:val="auto"/>
          <w:sz w:val="24"/>
          <w:szCs w:val="24"/>
          <w:lang w:val="en-GB"/>
        </w:rPr>
        <w:t>致：青海宝矿工程咨询有限公司</w:t>
      </w:r>
    </w:p>
    <w:p>
      <w:pPr>
        <w:pStyle w:val="41"/>
        <w:numPr>
          <w:ilvl w:val="0"/>
          <w:numId w:val="5"/>
        </w:numPr>
        <w:spacing w:beforeLines="50" w:afterLines="50" w:line="400" w:lineRule="exact"/>
        <w:ind w:firstLine="480" w:firstLineChars="200"/>
        <w:contextualSpacing/>
        <w:rPr>
          <w:rFonts w:ascii="宋体" w:hAnsi="宋体" w:eastAsia="宋体"/>
          <w:color w:val="auto"/>
          <w:sz w:val="24"/>
          <w:szCs w:val="24"/>
          <w:lang w:val="en-GB"/>
        </w:rPr>
      </w:pPr>
      <w:r>
        <w:rPr>
          <w:rFonts w:hint="eastAsia" w:ascii="宋体" w:hAnsi="宋体" w:eastAsia="宋体"/>
          <w:color w:val="auto"/>
          <w:sz w:val="24"/>
          <w:szCs w:val="24"/>
          <w:lang w:val="en-GB"/>
        </w:rPr>
        <w:t>我们收到并研究了贵单位的招标文件（编号：</w:t>
      </w:r>
      <w:r>
        <w:rPr>
          <w:rFonts w:hint="eastAsia" w:ascii="宋体" w:hAnsi="宋体" w:eastAsia="宋体"/>
          <w:color w:val="auto"/>
          <w:sz w:val="24"/>
          <w:szCs w:val="24"/>
          <w:u w:val="single"/>
          <w:lang w:val="en-GB"/>
        </w:rPr>
        <w:t xml:space="preserve"> </w:t>
      </w:r>
      <w:r>
        <w:rPr>
          <w:rFonts w:hint="eastAsia" w:ascii="宋体" w:hAnsi="宋体" w:eastAsia="宋体"/>
          <w:color w:val="auto"/>
          <w:sz w:val="24"/>
          <w:szCs w:val="24"/>
          <w:u w:val="single"/>
          <w:lang w:val="en-US" w:eastAsia="zh-CN"/>
        </w:rPr>
        <w:t>XNTG21053</w:t>
      </w:r>
      <w:r>
        <w:rPr>
          <w:rFonts w:hint="eastAsia" w:ascii="宋体" w:hAnsi="宋体" w:eastAsia="宋体"/>
          <w:color w:val="auto"/>
          <w:sz w:val="24"/>
          <w:szCs w:val="24"/>
          <w:u w:val="single"/>
          <w:lang w:val="en-GB"/>
        </w:rPr>
        <w:t xml:space="preserve"> </w:t>
      </w:r>
      <w:r>
        <w:rPr>
          <w:rFonts w:hint="eastAsia" w:ascii="宋体" w:hAnsi="宋体" w:eastAsia="宋体"/>
          <w:color w:val="auto"/>
          <w:sz w:val="24"/>
          <w:szCs w:val="24"/>
          <w:lang w:val="en-GB"/>
        </w:rPr>
        <w:t>），对全部招标文件予以确认，愿意按招标文件规定的内容，根据招标文件要求进行报价</w:t>
      </w:r>
      <w:r>
        <w:rPr>
          <w:rFonts w:hint="eastAsia" w:ascii="宋体" w:hAnsi="宋体" w:eastAsia="宋体"/>
          <w:color w:val="auto"/>
          <w:sz w:val="24"/>
          <w:szCs w:val="24"/>
          <w:lang w:val="en-GB" w:eastAsia="zh-CN"/>
        </w:rPr>
        <w:t>，</w:t>
      </w:r>
      <w:r>
        <w:rPr>
          <w:rFonts w:hint="eastAsia" w:ascii="宋体" w:hAnsi="宋体" w:eastAsia="宋体"/>
          <w:color w:val="auto"/>
          <w:sz w:val="24"/>
          <w:szCs w:val="24"/>
          <w:lang w:val="en-GB"/>
        </w:rPr>
        <w:t>承担该项目工作，并保证严格履行我们所承诺的责任和义务。</w:t>
      </w:r>
    </w:p>
    <w:p>
      <w:pPr>
        <w:pStyle w:val="41"/>
        <w:spacing w:beforeLines="50" w:afterLines="50" w:line="400" w:lineRule="exact"/>
        <w:ind w:firstLine="0"/>
        <w:contextualSpacing/>
        <w:rPr>
          <w:rFonts w:ascii="宋体" w:hAnsi="宋体" w:eastAsia="宋体"/>
          <w:color w:val="auto"/>
          <w:sz w:val="24"/>
          <w:szCs w:val="24"/>
          <w:lang w:val="en-GB"/>
        </w:rPr>
      </w:pPr>
      <w:r>
        <w:rPr>
          <w:rFonts w:hint="eastAsia" w:ascii="宋体" w:hAnsi="宋体" w:eastAsia="宋体"/>
          <w:color w:val="auto"/>
          <w:sz w:val="24"/>
          <w:szCs w:val="24"/>
        </w:rPr>
        <w:t xml:space="preserve">    2</w:t>
      </w:r>
      <w:r>
        <w:rPr>
          <w:rFonts w:hint="eastAsia" w:ascii="宋体" w:hAnsi="宋体" w:eastAsia="宋体"/>
          <w:color w:val="auto"/>
          <w:sz w:val="24"/>
          <w:szCs w:val="24"/>
          <w:lang w:val="en-GB"/>
        </w:rPr>
        <w:t>、我们承认投标文件及其附件为我们投标文件的组成部分，并愿意修改其中的任何缺陷。</w:t>
      </w:r>
    </w:p>
    <w:p>
      <w:pPr>
        <w:pStyle w:val="41"/>
        <w:spacing w:beforeLines="50" w:afterLines="50" w:line="400" w:lineRule="exact"/>
        <w:ind w:firstLine="480" w:firstLineChars="200"/>
        <w:contextualSpacing/>
        <w:rPr>
          <w:rFonts w:ascii="宋体" w:hAnsi="宋体" w:eastAsia="宋体"/>
          <w:color w:val="auto"/>
          <w:sz w:val="24"/>
          <w:szCs w:val="24"/>
          <w:lang w:val="en-GB"/>
        </w:rPr>
      </w:pPr>
      <w:r>
        <w:rPr>
          <w:rFonts w:hint="eastAsia" w:ascii="宋体" w:hAnsi="宋体" w:eastAsia="宋体"/>
          <w:color w:val="auto"/>
          <w:sz w:val="24"/>
          <w:szCs w:val="24"/>
          <w:lang w:val="en-US" w:eastAsia="zh-CN"/>
        </w:rPr>
        <w:t>3</w:t>
      </w:r>
      <w:r>
        <w:rPr>
          <w:rFonts w:hint="eastAsia" w:ascii="宋体" w:hAnsi="宋体" w:eastAsia="宋体"/>
          <w:color w:val="auto"/>
          <w:sz w:val="24"/>
          <w:szCs w:val="24"/>
          <w:lang w:val="en-GB"/>
        </w:rPr>
        <w:t>、我们同意从开标之日起90天内遵守本投标文件，在此期限期满之前的任何时间，本投标文件一直对我们具有约束力。</w:t>
      </w:r>
    </w:p>
    <w:p>
      <w:pPr>
        <w:pStyle w:val="41"/>
        <w:spacing w:beforeLines="50" w:afterLines="50" w:line="400" w:lineRule="exact"/>
        <w:ind w:firstLine="480" w:firstLineChars="200"/>
        <w:contextualSpacing/>
        <w:rPr>
          <w:rFonts w:ascii="宋体" w:hAnsi="宋体" w:eastAsia="宋体"/>
          <w:color w:val="auto"/>
          <w:sz w:val="24"/>
          <w:szCs w:val="24"/>
          <w:lang w:val="en-GB"/>
        </w:rPr>
      </w:pPr>
      <w:r>
        <w:rPr>
          <w:rFonts w:hint="eastAsia" w:ascii="宋体" w:hAnsi="宋体" w:eastAsia="宋体"/>
          <w:color w:val="auto"/>
          <w:sz w:val="24"/>
          <w:szCs w:val="24"/>
          <w:lang w:val="en-US" w:eastAsia="zh-CN"/>
        </w:rPr>
        <w:t>4</w:t>
      </w:r>
      <w:r>
        <w:rPr>
          <w:rFonts w:hint="eastAsia" w:ascii="宋体" w:hAnsi="宋体" w:eastAsia="宋体"/>
          <w:color w:val="auto"/>
          <w:sz w:val="24"/>
          <w:szCs w:val="24"/>
          <w:lang w:val="en-GB"/>
        </w:rPr>
        <w:t>、我们声明本投标报价己考虑了所有因素，投标有效期内，投标报价保持不变。</w:t>
      </w:r>
    </w:p>
    <w:p>
      <w:pPr>
        <w:pStyle w:val="41"/>
        <w:spacing w:beforeLines="50" w:afterLines="50" w:line="400" w:lineRule="exact"/>
        <w:ind w:firstLine="480" w:firstLineChars="200"/>
        <w:contextualSpacing/>
        <w:rPr>
          <w:rFonts w:ascii="宋体" w:hAnsi="宋体" w:eastAsia="宋体"/>
          <w:color w:val="auto"/>
          <w:sz w:val="24"/>
          <w:szCs w:val="24"/>
          <w:lang w:val="en-GB"/>
        </w:rPr>
      </w:pPr>
      <w:r>
        <w:rPr>
          <w:rFonts w:hint="eastAsia" w:ascii="宋体" w:hAnsi="宋体" w:eastAsia="宋体"/>
          <w:color w:val="auto"/>
          <w:sz w:val="24"/>
          <w:szCs w:val="24"/>
          <w:lang w:val="en-US" w:eastAsia="zh-CN"/>
        </w:rPr>
        <w:t>5</w:t>
      </w:r>
      <w:r>
        <w:rPr>
          <w:rFonts w:hint="eastAsia" w:ascii="宋体" w:hAnsi="宋体" w:eastAsia="宋体"/>
          <w:color w:val="auto"/>
          <w:sz w:val="24"/>
          <w:szCs w:val="24"/>
          <w:lang w:val="en-GB"/>
        </w:rPr>
        <w:t>、在制定和执行正式合同之前，本招标文件、投标文件连同你方书面的中标通知书，应构成我们双方之间有约束力的合同。</w:t>
      </w:r>
    </w:p>
    <w:p>
      <w:pPr>
        <w:pStyle w:val="41"/>
        <w:spacing w:beforeLines="50" w:afterLines="50" w:line="400" w:lineRule="exact"/>
        <w:ind w:firstLine="480" w:firstLineChars="200"/>
        <w:contextualSpacing/>
        <w:rPr>
          <w:rFonts w:ascii="宋体" w:hAnsi="宋体" w:eastAsia="宋体"/>
          <w:color w:val="auto"/>
          <w:sz w:val="24"/>
          <w:szCs w:val="24"/>
          <w:lang w:val="en-GB"/>
        </w:rPr>
      </w:pPr>
      <w:r>
        <w:rPr>
          <w:rFonts w:hint="eastAsia" w:ascii="宋体" w:hAnsi="宋体" w:eastAsia="宋体"/>
          <w:color w:val="auto"/>
          <w:sz w:val="24"/>
          <w:szCs w:val="24"/>
          <w:lang w:val="en-US" w:eastAsia="zh-CN"/>
        </w:rPr>
        <w:t>6</w:t>
      </w:r>
      <w:r>
        <w:rPr>
          <w:rFonts w:hint="eastAsia" w:ascii="宋体" w:hAnsi="宋体" w:eastAsia="宋体"/>
          <w:color w:val="auto"/>
          <w:sz w:val="24"/>
          <w:szCs w:val="24"/>
          <w:lang w:val="en-GB"/>
        </w:rPr>
        <w:t>、贵单位不负担我们的任何投标费用。</w:t>
      </w:r>
    </w:p>
    <w:p>
      <w:pPr>
        <w:pStyle w:val="41"/>
        <w:spacing w:beforeLines="50" w:afterLines="50" w:line="400" w:lineRule="exact"/>
        <w:ind w:firstLine="480" w:firstLineChars="200"/>
        <w:contextualSpacing/>
        <w:rPr>
          <w:rFonts w:hint="eastAsia" w:ascii="宋体" w:hAnsi="宋体" w:eastAsia="宋体"/>
          <w:color w:val="auto"/>
          <w:sz w:val="24"/>
          <w:szCs w:val="24"/>
          <w:lang w:val="en-GB"/>
        </w:rPr>
      </w:pPr>
    </w:p>
    <w:p>
      <w:pPr>
        <w:pStyle w:val="41"/>
        <w:spacing w:beforeLines="50" w:afterLines="50" w:line="400" w:lineRule="exact"/>
        <w:ind w:firstLine="480" w:firstLineChars="200"/>
        <w:contextualSpacing/>
        <w:rPr>
          <w:rFonts w:hint="eastAsia" w:ascii="宋体" w:hAnsi="宋体" w:eastAsia="宋体"/>
          <w:color w:val="auto"/>
          <w:sz w:val="24"/>
          <w:szCs w:val="24"/>
          <w:lang w:val="en-GB"/>
        </w:rPr>
      </w:pPr>
    </w:p>
    <w:p>
      <w:pPr>
        <w:pStyle w:val="41"/>
        <w:spacing w:beforeLines="50" w:afterLines="50" w:line="400" w:lineRule="exact"/>
        <w:ind w:firstLine="480" w:firstLineChars="200"/>
        <w:contextualSpacing/>
        <w:rPr>
          <w:rFonts w:ascii="宋体" w:hAnsi="宋体" w:eastAsia="宋体"/>
          <w:color w:val="auto"/>
          <w:sz w:val="24"/>
          <w:szCs w:val="24"/>
          <w:lang w:val="en-GB"/>
        </w:rPr>
      </w:pPr>
      <w:r>
        <w:rPr>
          <w:rFonts w:hint="eastAsia" w:ascii="宋体" w:hAnsi="宋体" w:eastAsia="宋体"/>
          <w:color w:val="auto"/>
          <w:sz w:val="24"/>
          <w:szCs w:val="24"/>
          <w:lang w:val="en-GB"/>
        </w:rPr>
        <w:t>投标人名称/盖章：</w:t>
      </w:r>
    </w:p>
    <w:p>
      <w:pPr>
        <w:pStyle w:val="41"/>
        <w:spacing w:beforeLines="50" w:afterLines="50" w:line="400" w:lineRule="exact"/>
        <w:ind w:firstLine="480" w:firstLineChars="200"/>
        <w:contextualSpacing/>
        <w:rPr>
          <w:rFonts w:ascii="宋体" w:hAnsi="宋体" w:eastAsia="宋体"/>
          <w:color w:val="auto"/>
          <w:sz w:val="24"/>
          <w:szCs w:val="24"/>
          <w:lang w:val="en-GB"/>
        </w:rPr>
      </w:pPr>
      <w:r>
        <w:rPr>
          <w:rFonts w:hint="eastAsia" w:ascii="宋体" w:hAnsi="宋体" w:eastAsia="宋体"/>
          <w:color w:val="auto"/>
          <w:sz w:val="24"/>
          <w:szCs w:val="24"/>
          <w:lang w:val="en-GB"/>
        </w:rPr>
        <w:t>投标人法人代表或授权人签名</w:t>
      </w:r>
      <w:r>
        <w:rPr>
          <w:rFonts w:hint="eastAsia" w:ascii="宋体" w:hAnsi="宋体" w:eastAsia="宋体"/>
          <w:color w:val="auto"/>
          <w:sz w:val="24"/>
          <w:szCs w:val="24"/>
          <w:lang w:val="en-US" w:eastAsia="zh-CN"/>
        </w:rPr>
        <w:t>或盖章</w:t>
      </w:r>
      <w:r>
        <w:rPr>
          <w:rFonts w:hint="eastAsia" w:ascii="宋体" w:hAnsi="宋体" w:eastAsia="宋体"/>
          <w:color w:val="auto"/>
          <w:sz w:val="24"/>
          <w:szCs w:val="24"/>
          <w:lang w:val="en-GB"/>
        </w:rPr>
        <w:t xml:space="preserve">：                            </w:t>
      </w:r>
    </w:p>
    <w:p>
      <w:pPr>
        <w:pStyle w:val="41"/>
        <w:spacing w:beforeLines="50" w:afterLines="50" w:line="400" w:lineRule="exact"/>
        <w:ind w:firstLine="480" w:firstLineChars="200"/>
        <w:contextualSpacing/>
        <w:rPr>
          <w:rFonts w:ascii="宋体" w:hAnsi="宋体" w:eastAsia="宋体"/>
          <w:color w:val="auto"/>
          <w:sz w:val="24"/>
          <w:szCs w:val="24"/>
          <w:lang w:val="en-GB"/>
        </w:rPr>
      </w:pPr>
      <w:r>
        <w:rPr>
          <w:rFonts w:hint="eastAsia" w:ascii="宋体" w:hAnsi="宋体" w:eastAsia="宋体"/>
          <w:color w:val="auto"/>
          <w:sz w:val="24"/>
          <w:szCs w:val="24"/>
          <w:lang w:val="en-GB"/>
        </w:rPr>
        <w:t>签名人的名字和职务：</w:t>
      </w:r>
    </w:p>
    <w:p>
      <w:pPr>
        <w:pStyle w:val="41"/>
        <w:spacing w:beforeLines="50" w:afterLines="50" w:line="400" w:lineRule="exact"/>
        <w:ind w:firstLine="480" w:firstLineChars="200"/>
        <w:contextualSpacing/>
        <w:rPr>
          <w:rFonts w:ascii="宋体" w:hAnsi="宋体" w:eastAsia="宋体"/>
          <w:color w:val="auto"/>
          <w:sz w:val="24"/>
          <w:szCs w:val="24"/>
          <w:lang w:val="en-GB"/>
        </w:rPr>
      </w:pPr>
      <w:r>
        <w:rPr>
          <w:rFonts w:hint="eastAsia" w:ascii="宋体" w:hAnsi="宋体" w:eastAsia="宋体"/>
          <w:color w:val="auto"/>
          <w:sz w:val="24"/>
          <w:szCs w:val="24"/>
          <w:lang w:val="en-GB"/>
        </w:rPr>
        <w:t xml:space="preserve">日期：     年  月  日 </w:t>
      </w:r>
    </w:p>
    <w:p>
      <w:pPr>
        <w:pStyle w:val="41"/>
        <w:jc w:val="both"/>
        <w:outlineLvl w:val="1"/>
        <w:rPr>
          <w:color w:val="auto"/>
        </w:rPr>
      </w:pPr>
      <w:r>
        <w:rPr>
          <w:rFonts w:hint="eastAsia" w:ascii="宋体" w:hAnsi="宋体" w:eastAsia="宋体" w:cs="宋体"/>
          <w:b/>
          <w:bCs/>
          <w:color w:val="auto"/>
          <w:sz w:val="28"/>
          <w:szCs w:val="28"/>
        </w:rPr>
        <w:br w:type="page"/>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附件</w:t>
      </w:r>
      <w:r>
        <w:rPr>
          <w:rFonts w:hint="eastAsia" w:ascii="宋体" w:hAnsi="宋体" w:eastAsia="宋体" w:cs="宋体"/>
          <w:b/>
          <w:bCs/>
          <w:color w:val="auto"/>
          <w:sz w:val="28"/>
          <w:szCs w:val="28"/>
          <w:lang w:val="en-US" w:eastAsia="zh-CN"/>
        </w:rPr>
        <w:t>3</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法人授权委托书</w:t>
      </w:r>
    </w:p>
    <w:p>
      <w:pPr>
        <w:rPr>
          <w:rFonts w:ascii="宋体" w:hAnsi="宋体"/>
          <w:color w:val="auto"/>
        </w:rPr>
      </w:pPr>
    </w:p>
    <w:p>
      <w:pPr>
        <w:pStyle w:val="41"/>
        <w:keepNext w:val="0"/>
        <w:keepLines w:val="0"/>
        <w:pageBreakBefore w:val="0"/>
        <w:widowControl/>
        <w:kinsoku/>
        <w:wordWrap/>
        <w:overflowPunct/>
        <w:topLinePunct w:val="0"/>
        <w:autoSpaceDE/>
        <w:autoSpaceDN/>
        <w:bidi w:val="0"/>
        <w:adjustRightInd/>
        <w:snapToGrid/>
        <w:spacing w:line="360" w:lineRule="auto"/>
        <w:ind w:left="635" w:leftChars="228" w:hanging="156" w:hangingChars="65"/>
        <w:textAlignment w:val="auto"/>
        <w:outlineLvl w:val="9"/>
        <w:rPr>
          <w:rFonts w:hint="eastAsia" w:ascii="宋体" w:hAnsi="宋体" w:eastAsia="宋体"/>
          <w:color w:val="auto"/>
          <w:sz w:val="24"/>
          <w:szCs w:val="24"/>
          <w:lang w:val="en-GB"/>
        </w:rPr>
      </w:pPr>
      <w:r>
        <w:rPr>
          <w:rFonts w:hint="eastAsia" w:ascii="宋体" w:hAnsi="宋体" w:eastAsia="宋体"/>
          <w:color w:val="auto"/>
          <w:sz w:val="24"/>
          <w:szCs w:val="24"/>
          <w:lang w:val="en-GB"/>
        </w:rPr>
        <w:t>本授权委托书声明：我（姓名）</w:t>
      </w:r>
      <w:r>
        <w:rPr>
          <w:rFonts w:hint="eastAsia" w:ascii="宋体" w:hAnsi="宋体" w:eastAsia="宋体"/>
          <w:color w:val="auto"/>
          <w:sz w:val="24"/>
          <w:szCs w:val="24"/>
          <w:u w:val="single"/>
          <w:lang w:val="en-GB"/>
        </w:rPr>
        <w:t xml:space="preserve">    </w:t>
      </w:r>
      <w:r>
        <w:rPr>
          <w:rFonts w:hint="eastAsia" w:ascii="宋体" w:hAnsi="宋体" w:eastAsia="宋体"/>
          <w:color w:val="auto"/>
          <w:sz w:val="24"/>
          <w:szCs w:val="24"/>
          <w:lang w:val="en-GB"/>
        </w:rPr>
        <w:t>系（投标人名称）</w:t>
      </w:r>
      <w:r>
        <w:rPr>
          <w:rFonts w:hint="eastAsia" w:ascii="宋体" w:hAnsi="宋体" w:eastAsia="宋体"/>
          <w:color w:val="auto"/>
          <w:sz w:val="24"/>
          <w:szCs w:val="24"/>
          <w:u w:val="single"/>
          <w:lang w:val="en-GB"/>
        </w:rPr>
        <w:t xml:space="preserve">     </w:t>
      </w:r>
      <w:r>
        <w:rPr>
          <w:rFonts w:hint="eastAsia" w:ascii="宋体" w:hAnsi="宋体" w:eastAsia="宋体"/>
          <w:color w:val="auto"/>
          <w:sz w:val="24"/>
          <w:szCs w:val="24"/>
          <w:lang w:val="en-GB"/>
        </w:rPr>
        <w:t>的法定代表人，</w:t>
      </w:r>
    </w:p>
    <w:p>
      <w:pPr>
        <w:pStyle w:val="41"/>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olor w:val="auto"/>
          <w:sz w:val="24"/>
          <w:szCs w:val="24"/>
          <w:lang w:val="en-GB"/>
        </w:rPr>
      </w:pPr>
      <w:r>
        <w:rPr>
          <w:rFonts w:hint="eastAsia" w:ascii="宋体" w:hAnsi="宋体" w:eastAsia="宋体"/>
          <w:color w:val="auto"/>
          <w:sz w:val="24"/>
          <w:szCs w:val="24"/>
          <w:lang w:val="en-GB"/>
        </w:rPr>
        <w:t>现授权委托（单位名称）</w:t>
      </w:r>
      <w:r>
        <w:rPr>
          <w:rFonts w:hint="eastAsia" w:ascii="宋体" w:hAnsi="宋体" w:eastAsia="宋体"/>
          <w:color w:val="auto"/>
          <w:sz w:val="24"/>
          <w:szCs w:val="24"/>
          <w:u w:val="single"/>
          <w:lang w:val="en-GB"/>
        </w:rPr>
        <w:t xml:space="preserve">        </w:t>
      </w:r>
      <w:r>
        <w:rPr>
          <w:rFonts w:hint="eastAsia" w:ascii="宋体" w:hAnsi="宋体" w:eastAsia="宋体"/>
          <w:color w:val="auto"/>
          <w:sz w:val="24"/>
          <w:szCs w:val="24"/>
          <w:lang w:val="en-GB"/>
        </w:rPr>
        <w:t>的（姓名）</w:t>
      </w:r>
      <w:r>
        <w:rPr>
          <w:rFonts w:hint="eastAsia" w:ascii="宋体" w:hAnsi="宋体" w:eastAsia="宋体"/>
          <w:color w:val="auto"/>
          <w:sz w:val="24"/>
          <w:szCs w:val="24"/>
          <w:u w:val="single"/>
          <w:lang w:val="en-GB"/>
        </w:rPr>
        <w:t xml:space="preserve">      </w:t>
      </w:r>
      <w:r>
        <w:rPr>
          <w:rFonts w:hint="eastAsia" w:ascii="宋体" w:hAnsi="宋体" w:eastAsia="宋体"/>
          <w:color w:val="auto"/>
          <w:sz w:val="24"/>
          <w:szCs w:val="24"/>
          <w:lang w:val="en-GB"/>
        </w:rPr>
        <w:t>为我公司法定代表人的授权委托</w:t>
      </w:r>
    </w:p>
    <w:p>
      <w:pPr>
        <w:pStyle w:val="41"/>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olor w:val="auto"/>
          <w:sz w:val="24"/>
          <w:szCs w:val="24"/>
          <w:lang w:val="en-GB"/>
        </w:rPr>
      </w:pPr>
      <w:r>
        <w:rPr>
          <w:rFonts w:hint="eastAsia" w:ascii="宋体" w:hAnsi="宋体" w:eastAsia="宋体"/>
          <w:color w:val="auto"/>
          <w:sz w:val="24"/>
          <w:szCs w:val="24"/>
          <w:lang w:val="en-GB"/>
        </w:rPr>
        <w:t>代理人签署本项目投标文件，我承认代理人全权代表我所签署的本项目的投标文件的</w:t>
      </w:r>
    </w:p>
    <w:p>
      <w:pPr>
        <w:pStyle w:val="41"/>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olor w:val="auto"/>
          <w:sz w:val="24"/>
          <w:szCs w:val="24"/>
          <w:lang w:val="en-GB"/>
        </w:rPr>
      </w:pPr>
      <w:r>
        <w:rPr>
          <w:rFonts w:hint="eastAsia" w:ascii="宋体" w:hAnsi="宋体" w:eastAsia="宋体"/>
          <w:color w:val="auto"/>
          <w:sz w:val="24"/>
          <w:szCs w:val="24"/>
          <w:lang w:val="en-GB"/>
        </w:rPr>
        <w:t>全部内容并承担相应的责任和义务。</w:t>
      </w:r>
    </w:p>
    <w:p>
      <w:pPr>
        <w:pStyle w:val="41"/>
        <w:spacing w:beforeLines="50" w:afterLines="50" w:line="400" w:lineRule="exact"/>
        <w:ind w:firstLine="480" w:firstLineChars="200"/>
        <w:contextualSpacing/>
        <w:rPr>
          <w:rFonts w:hint="eastAsia" w:ascii="宋体" w:hAnsi="宋体" w:eastAsia="宋体" w:cs="宋体"/>
          <w:b/>
          <w:bCs/>
          <w:color w:val="auto"/>
          <w:sz w:val="24"/>
          <w:szCs w:val="24"/>
          <w:highlight w:val="none"/>
          <w:lang w:val="en-GB" w:eastAsia="zh-CN"/>
        </w:rPr>
      </w:pPr>
      <w:r>
        <w:rPr>
          <w:rFonts w:hint="eastAsia" w:ascii="宋体" w:hAnsi="宋体" w:eastAsia="宋体" w:cs="宋体"/>
          <w:color w:val="auto"/>
          <w:sz w:val="24"/>
          <w:szCs w:val="24"/>
          <w:highlight w:val="none"/>
          <w:lang w:val="en-GB"/>
        </w:rPr>
        <w:t>授权有效期</w:t>
      </w:r>
      <w:r>
        <w:rPr>
          <w:rFonts w:hint="eastAsia" w:ascii="宋体" w:hAnsi="宋体" w:eastAsia="宋体" w:cs="宋体"/>
          <w:color w:val="auto"/>
          <w:sz w:val="24"/>
          <w:szCs w:val="24"/>
          <w:highlight w:val="none"/>
          <w:lang w:val="en-GB" w:eastAsia="zh-CN"/>
        </w:rPr>
        <w:t>：</w:t>
      </w:r>
      <w:r>
        <w:rPr>
          <w:rFonts w:hint="eastAsia" w:ascii="宋体" w:hAnsi="宋体" w:eastAsia="宋体" w:cs="宋体"/>
          <w:color w:val="auto"/>
          <w:sz w:val="24"/>
          <w:szCs w:val="24"/>
          <w:highlight w:val="none"/>
          <w:u w:val="single"/>
          <w:lang w:val="en-US" w:eastAsia="zh-CN"/>
        </w:rPr>
        <w:t xml:space="preserve">        日历天</w:t>
      </w:r>
      <w:r>
        <w:rPr>
          <w:rFonts w:hint="eastAsia" w:ascii="宋体" w:hAnsi="宋体" w:eastAsia="宋体" w:cs="宋体"/>
          <w:color w:val="auto"/>
          <w:sz w:val="24"/>
          <w:szCs w:val="24"/>
          <w:highlight w:val="none"/>
          <w:u w:val="single"/>
          <w:lang w:val="en-GB"/>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GB" w:eastAsia="zh-CN"/>
        </w:rPr>
        <w:t>（不得少于投标有效期</w:t>
      </w:r>
      <w:r>
        <w:rPr>
          <w:rFonts w:hint="eastAsia" w:ascii="宋体" w:hAnsi="宋体" w:eastAsia="宋体" w:cs="宋体"/>
          <w:b/>
          <w:bCs/>
          <w:color w:val="auto"/>
          <w:sz w:val="24"/>
          <w:szCs w:val="24"/>
          <w:highlight w:val="none"/>
          <w:lang w:val="en-US" w:eastAsia="zh-CN"/>
        </w:rPr>
        <w:t>90日历天</w:t>
      </w:r>
      <w:r>
        <w:rPr>
          <w:rFonts w:hint="eastAsia" w:ascii="宋体" w:hAnsi="宋体" w:eastAsia="宋体" w:cs="宋体"/>
          <w:b/>
          <w:bCs/>
          <w:color w:val="auto"/>
          <w:sz w:val="24"/>
          <w:szCs w:val="24"/>
          <w:highlight w:val="none"/>
          <w:lang w:val="en-GB" w:eastAsia="zh-CN"/>
        </w:rPr>
        <w:t>）。</w:t>
      </w:r>
    </w:p>
    <w:p>
      <w:pPr>
        <w:pStyle w:val="41"/>
        <w:spacing w:beforeLines="50" w:afterLines="50" w:line="400" w:lineRule="exact"/>
        <w:ind w:firstLine="480" w:firstLineChars="200"/>
        <w:contextualSpacing/>
        <w:rPr>
          <w:rFonts w:ascii="宋体" w:hAnsi="宋体" w:eastAsia="宋体"/>
          <w:color w:val="auto"/>
          <w:sz w:val="24"/>
          <w:szCs w:val="24"/>
          <w:lang w:val="en-GB"/>
        </w:rPr>
      </w:pPr>
      <w:r>
        <w:rPr>
          <w:rFonts w:hint="eastAsia" w:ascii="宋体" w:hAnsi="宋体" w:eastAsia="宋体"/>
          <w:color w:val="auto"/>
          <w:sz w:val="24"/>
          <w:szCs w:val="24"/>
          <w:lang w:val="en-GB"/>
        </w:rPr>
        <w:t>代理人无转委托权，特此委托。</w:t>
      </w:r>
    </w:p>
    <w:p>
      <w:pPr>
        <w:pStyle w:val="41"/>
        <w:spacing w:beforeLines="50" w:afterLines="50" w:line="400" w:lineRule="exact"/>
        <w:ind w:firstLine="482" w:firstLineChars="200"/>
        <w:contextualSpacing/>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附法人及授权委托人身份证复印件</w:t>
      </w:r>
    </w:p>
    <w:p>
      <w:pPr>
        <w:pStyle w:val="41"/>
        <w:spacing w:beforeLines="50" w:afterLines="50" w:line="400" w:lineRule="exact"/>
        <w:ind w:firstLine="480" w:firstLineChars="200"/>
        <w:contextualSpacing/>
        <w:rPr>
          <w:rFonts w:hint="eastAsia" w:ascii="宋体" w:hAnsi="宋体" w:eastAsia="宋体"/>
          <w:color w:val="auto"/>
          <w:sz w:val="24"/>
          <w:szCs w:val="24"/>
          <w:lang w:val="en-GB"/>
        </w:rPr>
      </w:pPr>
    </w:p>
    <w:p>
      <w:pPr>
        <w:pStyle w:val="41"/>
        <w:spacing w:beforeLines="50" w:afterLines="50" w:line="400" w:lineRule="exact"/>
        <w:ind w:firstLine="480" w:firstLineChars="200"/>
        <w:contextualSpacing/>
        <w:rPr>
          <w:rFonts w:hint="eastAsia" w:ascii="宋体" w:hAnsi="宋体" w:eastAsia="宋体"/>
          <w:color w:val="auto"/>
          <w:sz w:val="24"/>
          <w:szCs w:val="24"/>
          <w:lang w:val="en-GB"/>
        </w:rPr>
      </w:pPr>
    </w:p>
    <w:p>
      <w:pPr>
        <w:pStyle w:val="41"/>
        <w:spacing w:beforeLines="50" w:afterLines="50" w:line="400" w:lineRule="exact"/>
        <w:ind w:firstLine="480" w:firstLineChars="200"/>
        <w:contextualSpacing/>
        <w:rPr>
          <w:rFonts w:ascii="宋体" w:hAnsi="宋体" w:eastAsia="宋体"/>
          <w:color w:val="auto"/>
          <w:sz w:val="24"/>
          <w:szCs w:val="24"/>
          <w:lang w:val="en-GB"/>
        </w:rPr>
      </w:pPr>
    </w:p>
    <w:p>
      <w:pPr>
        <w:pStyle w:val="41"/>
        <w:spacing w:beforeLines="50" w:afterLines="50" w:line="360" w:lineRule="auto"/>
        <w:ind w:left="637" w:leftChars="114" w:hanging="398" w:hangingChars="166"/>
        <w:contextualSpacing/>
        <w:jc w:val="left"/>
        <w:rPr>
          <w:rFonts w:ascii="宋体" w:hAnsi="宋体" w:eastAsia="宋体"/>
          <w:color w:val="auto"/>
          <w:sz w:val="24"/>
          <w:szCs w:val="24"/>
          <w:lang w:val="en-GB"/>
        </w:rPr>
      </w:pPr>
      <w:r>
        <w:rPr>
          <w:rFonts w:hint="eastAsia" w:ascii="宋体" w:hAnsi="宋体" w:eastAsia="宋体"/>
          <w:color w:val="auto"/>
          <w:sz w:val="24"/>
          <w:szCs w:val="24"/>
          <w:lang w:val="en-GB"/>
        </w:rPr>
        <w:t>投标人：</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lang w:val="en-GB"/>
        </w:rPr>
        <w:t>（盖章）</w:t>
      </w:r>
    </w:p>
    <w:p>
      <w:pPr>
        <w:pStyle w:val="41"/>
        <w:spacing w:beforeLines="50" w:afterLines="50" w:line="360" w:lineRule="auto"/>
        <w:ind w:left="637" w:leftChars="114" w:hanging="398" w:hangingChars="166"/>
        <w:contextualSpacing/>
        <w:jc w:val="left"/>
        <w:rPr>
          <w:rFonts w:ascii="宋体" w:hAnsi="宋体" w:eastAsia="宋体"/>
          <w:color w:val="auto"/>
          <w:sz w:val="24"/>
          <w:szCs w:val="24"/>
          <w:lang w:val="en-GB"/>
        </w:rPr>
      </w:pPr>
      <w:r>
        <w:rPr>
          <w:rFonts w:hint="eastAsia" w:ascii="宋体" w:hAnsi="宋体" w:eastAsia="宋体"/>
          <w:color w:val="auto"/>
          <w:sz w:val="24"/>
          <w:szCs w:val="24"/>
          <w:lang w:val="en-GB"/>
        </w:rPr>
        <w:t>法定代表人：</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lang w:val="en-GB"/>
        </w:rPr>
        <w:t>（签字或盖章）</w:t>
      </w:r>
    </w:p>
    <w:p>
      <w:pPr>
        <w:pStyle w:val="41"/>
        <w:spacing w:beforeLines="50" w:afterLines="50" w:line="360" w:lineRule="auto"/>
        <w:ind w:left="637" w:leftChars="114" w:hanging="398" w:hangingChars="166"/>
        <w:contextualSpacing/>
        <w:jc w:val="left"/>
        <w:rPr>
          <w:rFonts w:hint="eastAsia" w:ascii="宋体" w:hAnsi="宋体" w:eastAsia="宋体"/>
          <w:color w:val="auto"/>
          <w:sz w:val="24"/>
          <w:szCs w:val="24"/>
          <w:u w:val="single"/>
          <w:lang w:val="en-US" w:eastAsia="zh-CN"/>
        </w:rPr>
      </w:pPr>
      <w:r>
        <w:rPr>
          <w:rFonts w:hint="eastAsia" w:ascii="宋体" w:hAnsi="宋体" w:eastAsia="宋体"/>
          <w:color w:val="auto"/>
          <w:sz w:val="24"/>
          <w:szCs w:val="24"/>
          <w:lang w:val="en-US" w:eastAsia="zh-CN"/>
        </w:rPr>
        <w:t>身份证号码：</w:t>
      </w:r>
    </w:p>
    <w:p>
      <w:pPr>
        <w:pStyle w:val="41"/>
        <w:spacing w:beforeLines="50" w:afterLines="50" w:line="360" w:lineRule="auto"/>
        <w:ind w:firstLine="2880" w:firstLineChars="1200"/>
        <w:contextualSpacing/>
        <w:jc w:val="left"/>
        <w:rPr>
          <w:rFonts w:hint="eastAsia" w:ascii="宋体" w:hAnsi="宋体" w:eastAsia="宋体"/>
          <w:color w:val="auto"/>
          <w:sz w:val="24"/>
          <w:szCs w:val="24"/>
          <w:lang w:val="en-GB"/>
        </w:rPr>
      </w:pPr>
    </w:p>
    <w:p>
      <w:pPr>
        <w:pStyle w:val="41"/>
        <w:spacing w:beforeLines="50" w:afterLines="50" w:line="360" w:lineRule="auto"/>
        <w:ind w:left="637" w:leftChars="114" w:hanging="398" w:hangingChars="166"/>
        <w:contextualSpacing/>
        <w:jc w:val="left"/>
        <w:rPr>
          <w:rFonts w:hint="eastAsia" w:ascii="宋体" w:hAnsi="宋体" w:eastAsia="宋体"/>
          <w:color w:val="auto"/>
          <w:sz w:val="24"/>
          <w:szCs w:val="24"/>
          <w:lang w:val="en-US" w:eastAsia="zh-CN"/>
        </w:rPr>
      </w:pPr>
      <w:r>
        <w:rPr>
          <w:rFonts w:hint="eastAsia" w:ascii="宋体" w:hAnsi="宋体" w:eastAsia="宋体"/>
          <w:color w:val="auto"/>
          <w:sz w:val="24"/>
          <w:szCs w:val="24"/>
          <w:lang w:val="en-GB"/>
        </w:rPr>
        <w:t>代理人：</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u w:val="none"/>
          <w:lang w:val="en-GB"/>
        </w:rPr>
        <w:t>（签字）</w:t>
      </w:r>
      <w:r>
        <w:rPr>
          <w:rFonts w:hint="eastAsia" w:ascii="宋体" w:hAnsi="宋体" w:eastAsia="宋体"/>
          <w:color w:val="auto"/>
          <w:sz w:val="24"/>
          <w:szCs w:val="24"/>
          <w:u w:val="single"/>
          <w:lang w:val="en-GB"/>
        </w:rPr>
        <w:t xml:space="preserve"> </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lang w:val="en-US" w:eastAsia="zh-CN"/>
        </w:rPr>
        <w:t xml:space="preserve">    </w:t>
      </w:r>
    </w:p>
    <w:p>
      <w:pPr>
        <w:pStyle w:val="41"/>
        <w:spacing w:beforeLines="50" w:afterLines="50" w:line="360" w:lineRule="auto"/>
        <w:ind w:left="637" w:leftChars="114" w:hanging="398" w:hangingChars="166"/>
        <w:contextualSpacing/>
        <w:jc w:val="left"/>
        <w:rPr>
          <w:rFonts w:hint="eastAsia" w:ascii="宋体" w:hAnsi="宋体" w:eastAsia="宋体"/>
          <w:color w:val="auto"/>
          <w:sz w:val="24"/>
          <w:szCs w:val="24"/>
          <w:lang w:val="en-US" w:eastAsia="zh-CN"/>
        </w:rPr>
      </w:pPr>
      <w:r>
        <w:rPr>
          <w:rFonts w:hint="eastAsia" w:ascii="宋体" w:hAnsi="宋体" w:eastAsia="宋体"/>
          <w:color w:val="auto"/>
          <w:sz w:val="24"/>
          <w:szCs w:val="24"/>
          <w:lang w:val="en-GB"/>
        </w:rPr>
        <w:t>身份证号码：</w:t>
      </w:r>
      <w:r>
        <w:rPr>
          <w:rFonts w:hint="eastAsia" w:ascii="宋体" w:hAnsi="宋体" w:eastAsia="宋体"/>
          <w:color w:val="auto"/>
          <w:sz w:val="24"/>
          <w:szCs w:val="24"/>
          <w:lang w:val="en-US" w:eastAsia="zh-CN"/>
        </w:rPr>
        <w:t xml:space="preserve"> </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u w:val="single"/>
          <w:lang w:val="en-GB"/>
        </w:rPr>
        <w:t xml:space="preserve">                       </w:t>
      </w:r>
      <w:r>
        <w:rPr>
          <w:rFonts w:hint="eastAsia" w:ascii="宋体" w:hAnsi="宋体" w:eastAsia="宋体"/>
          <w:color w:val="auto"/>
          <w:sz w:val="24"/>
          <w:szCs w:val="24"/>
          <w:u w:val="none"/>
          <w:lang w:val="en-GB"/>
        </w:rPr>
        <w:t xml:space="preserve">     </w:t>
      </w:r>
      <w:r>
        <w:rPr>
          <w:rFonts w:hint="eastAsia" w:ascii="宋体" w:hAnsi="宋体" w:eastAsia="宋体"/>
          <w:color w:val="auto"/>
          <w:sz w:val="24"/>
          <w:szCs w:val="24"/>
          <w:lang w:val="en-GB"/>
        </w:rPr>
        <w:t xml:space="preserve"> </w:t>
      </w:r>
      <w:r>
        <w:rPr>
          <w:rFonts w:hint="eastAsia" w:ascii="宋体" w:hAnsi="宋体" w:eastAsia="宋体"/>
          <w:color w:val="auto"/>
          <w:sz w:val="24"/>
          <w:szCs w:val="24"/>
          <w:u w:val="none"/>
          <w:lang w:val="en-US" w:eastAsia="zh-CN"/>
        </w:rPr>
        <w:t xml:space="preserve">       </w:t>
      </w:r>
    </w:p>
    <w:p>
      <w:pPr>
        <w:pStyle w:val="41"/>
        <w:spacing w:beforeLines="50" w:afterLines="50" w:line="360" w:lineRule="auto"/>
        <w:ind w:firstLine="480" w:firstLineChars="200"/>
        <w:contextualSpacing/>
        <w:jc w:val="left"/>
        <w:rPr>
          <w:rFonts w:hint="eastAsia" w:ascii="宋体" w:hAnsi="宋体" w:eastAsia="宋体"/>
          <w:color w:val="auto"/>
          <w:sz w:val="24"/>
          <w:szCs w:val="24"/>
          <w:lang w:val="en-GB"/>
        </w:rPr>
      </w:pPr>
    </w:p>
    <w:p>
      <w:pPr>
        <w:pStyle w:val="41"/>
        <w:spacing w:beforeLines="50" w:afterLines="50" w:line="360" w:lineRule="auto"/>
        <w:ind w:firstLine="480" w:firstLineChars="200"/>
        <w:rPr>
          <w:rFonts w:ascii="宋体" w:hAnsi="宋体" w:eastAsia="宋体"/>
          <w:color w:val="auto"/>
          <w:sz w:val="24"/>
          <w:szCs w:val="24"/>
          <w:lang w:val="en-GB"/>
        </w:rPr>
      </w:pPr>
    </w:p>
    <w:p>
      <w:pPr>
        <w:pStyle w:val="41"/>
        <w:spacing w:beforeLines="50" w:afterLines="50" w:line="360" w:lineRule="auto"/>
        <w:ind w:firstLine="480" w:firstLineChars="200"/>
        <w:rPr>
          <w:rFonts w:ascii="宋体" w:hAnsi="宋体" w:eastAsia="宋体"/>
          <w:color w:val="auto"/>
          <w:sz w:val="24"/>
          <w:szCs w:val="24"/>
          <w:lang w:val="en-GB"/>
        </w:rPr>
      </w:pPr>
    </w:p>
    <w:p>
      <w:pPr>
        <w:pStyle w:val="41"/>
        <w:spacing w:beforeLines="50" w:afterLines="50" w:line="360" w:lineRule="auto"/>
        <w:ind w:firstLine="480" w:firstLineChars="200"/>
        <w:rPr>
          <w:rFonts w:ascii="宋体" w:hAnsi="宋体" w:eastAsia="宋体"/>
          <w:color w:val="auto"/>
          <w:sz w:val="24"/>
          <w:szCs w:val="24"/>
          <w:lang w:val="en-GB"/>
        </w:rPr>
      </w:pPr>
    </w:p>
    <w:p>
      <w:pPr>
        <w:pStyle w:val="41"/>
        <w:spacing w:beforeLines="50" w:afterLines="50" w:line="360" w:lineRule="auto"/>
        <w:ind w:firstLine="480" w:firstLineChars="200"/>
        <w:rPr>
          <w:rFonts w:ascii="宋体" w:hAnsi="宋体" w:eastAsia="宋体"/>
          <w:color w:val="auto"/>
          <w:sz w:val="24"/>
          <w:szCs w:val="24"/>
          <w:lang w:val="en-GB"/>
        </w:rPr>
      </w:pPr>
    </w:p>
    <w:p>
      <w:pPr>
        <w:pStyle w:val="41"/>
        <w:spacing w:beforeLines="50" w:afterLines="50" w:line="360" w:lineRule="auto"/>
        <w:ind w:firstLine="0"/>
        <w:rPr>
          <w:rFonts w:ascii="宋体" w:hAnsi="宋体" w:eastAsia="宋体"/>
          <w:color w:val="auto"/>
          <w:sz w:val="24"/>
          <w:szCs w:val="24"/>
          <w:lang w:val="en-GB"/>
        </w:rPr>
        <w:sectPr>
          <w:headerReference r:id="rId7" w:type="default"/>
          <w:footerReference r:id="rId8" w:type="default"/>
          <w:pgSz w:w="11906" w:h="16838"/>
          <w:pgMar w:top="1440" w:right="1417" w:bottom="1440" w:left="1701" w:header="468" w:footer="437" w:gutter="0"/>
          <w:pgNumType w:fmt="decimal"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color w:val="auto"/>
          <w:sz w:val="28"/>
          <w:szCs w:val="28"/>
        </w:rPr>
      </w:pPr>
      <w:bookmarkStart w:id="249" w:name="_Toc29976"/>
      <w:bookmarkStart w:id="250" w:name="_Toc17250"/>
      <w:bookmarkStart w:id="251" w:name="_Toc30786"/>
      <w:bookmarkStart w:id="252" w:name="_Toc18225"/>
      <w:bookmarkStart w:id="253" w:name="_Toc4920"/>
      <w:r>
        <w:rPr>
          <w:rFonts w:hint="eastAsia" w:ascii="宋体" w:hAnsi="宋体" w:eastAsia="宋体" w:cs="宋体"/>
          <w:b/>
          <w:bCs/>
          <w:color w:val="auto"/>
          <w:sz w:val="28"/>
          <w:szCs w:val="28"/>
        </w:rPr>
        <w:t>附件</w:t>
      </w:r>
      <w:r>
        <w:rPr>
          <w:rFonts w:hint="eastAsia" w:ascii="宋体" w:hAnsi="宋体" w:cs="宋体"/>
          <w:b/>
          <w:bCs/>
          <w:color w:val="auto"/>
          <w:sz w:val="28"/>
          <w:szCs w:val="28"/>
          <w:lang w:val="en-US" w:eastAsia="zh-CN"/>
        </w:rPr>
        <w:t>4</w:t>
      </w:r>
      <w:r>
        <w:rPr>
          <w:rFonts w:hint="eastAsia" w:ascii="宋体" w:hAnsi="宋体" w:eastAsia="宋体" w:cs="宋体"/>
          <w:b/>
          <w:bCs/>
          <w:color w:val="auto"/>
          <w:sz w:val="28"/>
          <w:szCs w:val="28"/>
        </w:rPr>
        <w:t xml:space="preserve"> </w:t>
      </w:r>
      <w:bookmarkEnd w:id="249"/>
      <w:bookmarkEnd w:id="250"/>
      <w:bookmarkEnd w:id="251"/>
      <w:bookmarkEnd w:id="252"/>
      <w:bookmarkEnd w:id="253"/>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竞价表</w:t>
      </w:r>
    </w:p>
    <w:bookmarkEnd w:id="234"/>
    <w:bookmarkEnd w:id="235"/>
    <w:p>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eastAsia="zh-CN"/>
        </w:rPr>
      </w:pPr>
      <w:bookmarkStart w:id="254" w:name="_Toc26671"/>
      <w:bookmarkStart w:id="255" w:name="_Toc17472"/>
      <w:bookmarkStart w:id="256" w:name="_Toc22039"/>
      <w:bookmarkStart w:id="257" w:name="_Toc25345"/>
      <w:bookmarkStart w:id="258" w:name="_Toc6309"/>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color w:val="auto"/>
          <w:sz w:val="24"/>
          <w:szCs w:val="24"/>
          <w:lang w:eastAsia="zh-CN"/>
        </w:rPr>
        <w:t>青海西钢再生资源综合利用开发有限公司</w:t>
      </w:r>
      <w:r>
        <w:rPr>
          <w:rFonts w:hint="eastAsia" w:asciiTheme="minorEastAsia" w:hAnsiTheme="minorEastAsia" w:eastAsiaTheme="minorEastAsia" w:cstheme="minorEastAsia"/>
          <w:color w:val="auto"/>
          <w:sz w:val="24"/>
          <w:szCs w:val="24"/>
          <w:lang w:val="en-US" w:eastAsia="zh-CN"/>
        </w:rPr>
        <w:t>2021年7月废旧物资销售</w:t>
      </w:r>
      <w:r>
        <w:rPr>
          <w:rFonts w:hint="eastAsia" w:asciiTheme="minorEastAsia" w:hAnsiTheme="minorEastAsia" w:eastAsiaTheme="minorEastAsia" w:cstheme="minorEastAsia"/>
          <w:color w:val="auto"/>
          <w:sz w:val="24"/>
          <w:szCs w:val="24"/>
          <w:lang w:eastAsia="zh-CN"/>
        </w:rPr>
        <w:t>项目</w:t>
      </w:r>
    </w:p>
    <w:p>
      <w:pPr>
        <w:keepNext w:val="0"/>
        <w:keepLines w:val="0"/>
        <w:pageBreakBefore w:val="0"/>
        <w:kinsoku/>
        <w:wordWrap/>
        <w:overflowPunct/>
        <w:topLinePunct w:val="0"/>
        <w:autoSpaceDE/>
        <w:autoSpaceDN/>
        <w:bidi w:val="0"/>
        <w:adjustRightInd/>
        <w:snapToGrid/>
        <w:spacing w:line="360" w:lineRule="auto"/>
        <w:ind w:right="42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招标编号：</w:t>
      </w:r>
      <w:r>
        <w:rPr>
          <w:rFonts w:hint="eastAsia" w:asciiTheme="minorEastAsia" w:hAnsiTheme="minorEastAsia" w:eastAsiaTheme="minorEastAsia" w:cstheme="minorEastAsia"/>
          <w:color w:val="auto"/>
          <w:sz w:val="24"/>
          <w:szCs w:val="24"/>
          <w:lang w:val="en-US" w:eastAsia="zh-CN"/>
        </w:rPr>
        <w:t>XNTG21053</w:t>
      </w:r>
    </w:p>
    <w:p>
      <w:pPr>
        <w:keepNext w:val="0"/>
        <w:keepLines w:val="0"/>
        <w:pageBreakBefore w:val="0"/>
        <w:kinsoku/>
        <w:wordWrap/>
        <w:overflowPunct/>
        <w:topLinePunct w:val="0"/>
        <w:autoSpaceDE/>
        <w:autoSpaceDN/>
        <w:bidi w:val="0"/>
        <w:adjustRightInd/>
        <w:snapToGrid/>
        <w:spacing w:line="360" w:lineRule="auto"/>
        <w:ind w:right="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4"/>
          <w:szCs w:val="24"/>
        </w:rPr>
        <w:t>经我方亲自去标的物现场确认后，报价如下：</w:t>
      </w:r>
    </w:p>
    <w:tbl>
      <w:tblPr>
        <w:tblStyle w:val="23"/>
        <w:tblW w:w="9471"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227"/>
        <w:gridCol w:w="1149"/>
        <w:gridCol w:w="1633"/>
        <w:gridCol w:w="211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35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项目标段号</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物资品类</w:t>
            </w:r>
          </w:p>
        </w:tc>
        <w:tc>
          <w:tcPr>
            <w:tcW w:w="1149"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数量（吨）</w:t>
            </w:r>
          </w:p>
        </w:tc>
        <w:tc>
          <w:tcPr>
            <w:tcW w:w="1633"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投标单价</w:t>
            </w:r>
          </w:p>
          <w:p>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（含税，元/吨）</w:t>
            </w:r>
          </w:p>
        </w:tc>
        <w:tc>
          <w:tcPr>
            <w:tcW w:w="211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投标总价（含税，元）</w:t>
            </w:r>
          </w:p>
        </w:tc>
        <w:tc>
          <w:tcPr>
            <w:tcW w:w="1995"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trPr>
        <w:tc>
          <w:tcPr>
            <w:tcW w:w="135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标段一</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sz w:val="21"/>
                <w:szCs w:val="21"/>
                <w:lang w:eastAsia="zh-CN"/>
              </w:rPr>
              <w:t>氧化铁皮</w:t>
            </w:r>
          </w:p>
        </w:tc>
        <w:tc>
          <w:tcPr>
            <w:tcW w:w="1149"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kern w:val="2"/>
                <w:sz w:val="21"/>
                <w:szCs w:val="21"/>
                <w:lang w:val="en-US" w:eastAsia="zh-CN" w:bidi="ar-SA"/>
              </w:rPr>
              <w:t>210</w:t>
            </w:r>
          </w:p>
        </w:tc>
        <w:tc>
          <w:tcPr>
            <w:tcW w:w="1633"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b w:val="0"/>
                <w:bCs w:val="0"/>
                <w:color w:val="auto"/>
                <w:sz w:val="21"/>
                <w:szCs w:val="21"/>
                <w:lang w:val="en-US" w:eastAsia="zh-CN"/>
              </w:rPr>
            </w:pPr>
            <w:bookmarkStart w:id="259" w:name="_GoBack"/>
            <w:bookmarkEnd w:id="259"/>
          </w:p>
        </w:tc>
        <w:tc>
          <w:tcPr>
            <w:tcW w:w="2117"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kern w:val="2"/>
                <w:sz w:val="21"/>
                <w:szCs w:val="21"/>
                <w:lang w:val="en-US" w:eastAsia="zh-CN" w:bidi="ar-SA"/>
              </w:rPr>
            </w:pPr>
          </w:p>
        </w:tc>
        <w:tc>
          <w:tcPr>
            <w:tcW w:w="1995"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销售物资数量均为预计量，最终结算量以现场实际过磅数量为准；</w:t>
            </w:r>
            <w:r>
              <w:rPr>
                <w:rFonts w:hint="eastAsia" w:asciiTheme="minorEastAsia" w:hAnsiTheme="minorEastAsia" w:eastAsiaTheme="minorEastAsia" w:cstheme="minorEastAsia"/>
                <w:b w:val="0"/>
                <w:bCs w:val="0"/>
                <w:color w:val="auto"/>
                <w:kern w:val="0"/>
                <w:sz w:val="21"/>
                <w:szCs w:val="21"/>
                <w:highlight w:val="none"/>
                <w:lang w:val="en-US" w:eastAsia="zh-CN"/>
              </w:rPr>
              <w:t>各标段物资投</w:t>
            </w:r>
            <w:r>
              <w:rPr>
                <w:rFonts w:hint="eastAsia" w:asciiTheme="minorEastAsia" w:hAnsiTheme="minorEastAsia" w:eastAsiaTheme="minorEastAsia" w:cstheme="minorEastAsia"/>
                <w:b w:val="0"/>
                <w:bCs w:val="0"/>
                <w:color w:val="auto"/>
                <w:kern w:val="0"/>
                <w:sz w:val="21"/>
                <w:szCs w:val="21"/>
                <w:lang w:val="en-US" w:eastAsia="zh-CN"/>
              </w:rPr>
              <w:t>标单价报价不得低于控制单价，否则将被否决投标。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135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 w:val="21"/>
                <w:szCs w:val="21"/>
                <w:lang w:val="en-US" w:eastAsia="zh-CN"/>
              </w:rPr>
              <w:t>标段二</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sz w:val="21"/>
                <w:szCs w:val="21"/>
                <w:lang w:eastAsia="zh-CN"/>
              </w:rPr>
              <w:t>砂轮沫</w:t>
            </w:r>
          </w:p>
        </w:tc>
        <w:tc>
          <w:tcPr>
            <w:tcW w:w="1149"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kern w:val="2"/>
                <w:sz w:val="21"/>
                <w:szCs w:val="21"/>
                <w:lang w:val="en-US" w:eastAsia="zh-CN" w:bidi="ar-SA"/>
              </w:rPr>
              <w:t>1500</w:t>
            </w:r>
          </w:p>
        </w:tc>
        <w:tc>
          <w:tcPr>
            <w:tcW w:w="1633"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b w:val="0"/>
                <w:bCs w:val="0"/>
                <w:color w:val="auto"/>
                <w:sz w:val="21"/>
                <w:szCs w:val="21"/>
                <w:lang w:val="en-US" w:eastAsia="zh-CN"/>
              </w:rPr>
            </w:pPr>
          </w:p>
        </w:tc>
        <w:tc>
          <w:tcPr>
            <w:tcW w:w="2117"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kern w:val="2"/>
                <w:sz w:val="21"/>
                <w:szCs w:val="21"/>
                <w:lang w:val="en-US" w:eastAsia="zh-CN" w:bidi="ar-SA"/>
              </w:rPr>
            </w:pPr>
          </w:p>
        </w:tc>
        <w:tc>
          <w:tcPr>
            <w:tcW w:w="199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35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 w:val="21"/>
                <w:szCs w:val="21"/>
                <w:lang w:val="en-US" w:eastAsia="zh-CN"/>
              </w:rPr>
              <w:t>标段三</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sz w:val="21"/>
                <w:szCs w:val="21"/>
                <w:lang w:eastAsia="zh-CN"/>
              </w:rPr>
              <w:t>钢铸铁屑</w:t>
            </w:r>
          </w:p>
        </w:tc>
        <w:tc>
          <w:tcPr>
            <w:tcW w:w="1149"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kern w:val="2"/>
                <w:sz w:val="21"/>
                <w:szCs w:val="21"/>
                <w:lang w:val="en-US" w:eastAsia="zh-CN" w:bidi="ar-SA"/>
              </w:rPr>
              <w:t>210</w:t>
            </w:r>
          </w:p>
        </w:tc>
        <w:tc>
          <w:tcPr>
            <w:tcW w:w="1633"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b w:val="0"/>
                <w:bCs w:val="0"/>
                <w:color w:val="auto"/>
                <w:sz w:val="21"/>
                <w:szCs w:val="21"/>
                <w:lang w:val="en-US" w:eastAsia="zh-CN"/>
              </w:rPr>
            </w:pPr>
          </w:p>
        </w:tc>
        <w:tc>
          <w:tcPr>
            <w:tcW w:w="2117"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kern w:val="2"/>
                <w:sz w:val="21"/>
                <w:szCs w:val="21"/>
                <w:lang w:val="en-US" w:eastAsia="zh-CN" w:bidi="ar-SA"/>
              </w:rPr>
            </w:pPr>
          </w:p>
        </w:tc>
        <w:tc>
          <w:tcPr>
            <w:tcW w:w="199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35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 w:val="21"/>
                <w:szCs w:val="21"/>
                <w:lang w:val="en-US" w:eastAsia="zh-CN"/>
              </w:rPr>
              <w:t>标段四</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sz w:val="21"/>
                <w:szCs w:val="21"/>
                <w:lang w:eastAsia="zh-CN"/>
              </w:rPr>
              <w:t>扒皮沫</w:t>
            </w:r>
          </w:p>
        </w:tc>
        <w:tc>
          <w:tcPr>
            <w:tcW w:w="1149"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kern w:val="2"/>
                <w:sz w:val="21"/>
                <w:szCs w:val="21"/>
                <w:lang w:val="en-US" w:eastAsia="zh-CN" w:bidi="ar-SA"/>
              </w:rPr>
              <w:t>300</w:t>
            </w:r>
          </w:p>
        </w:tc>
        <w:tc>
          <w:tcPr>
            <w:tcW w:w="1633"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b w:val="0"/>
                <w:bCs w:val="0"/>
                <w:color w:val="auto"/>
                <w:sz w:val="21"/>
                <w:szCs w:val="21"/>
                <w:lang w:val="en-US" w:eastAsia="zh-CN"/>
              </w:rPr>
            </w:pPr>
          </w:p>
        </w:tc>
        <w:tc>
          <w:tcPr>
            <w:tcW w:w="2117"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kern w:val="2"/>
                <w:sz w:val="21"/>
                <w:szCs w:val="21"/>
                <w:lang w:val="en-US" w:eastAsia="zh-CN" w:bidi="ar-SA"/>
              </w:rPr>
            </w:pPr>
          </w:p>
        </w:tc>
        <w:tc>
          <w:tcPr>
            <w:tcW w:w="199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35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标段五</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sz w:val="21"/>
                <w:szCs w:val="21"/>
                <w:lang w:eastAsia="zh-CN"/>
              </w:rPr>
              <w:t>废石墨电极</w:t>
            </w:r>
          </w:p>
        </w:tc>
        <w:tc>
          <w:tcPr>
            <w:tcW w:w="1149"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kern w:val="2"/>
                <w:sz w:val="21"/>
                <w:szCs w:val="21"/>
                <w:lang w:val="en-US" w:eastAsia="zh-CN" w:bidi="ar-SA"/>
              </w:rPr>
              <w:t>30</w:t>
            </w:r>
          </w:p>
        </w:tc>
        <w:tc>
          <w:tcPr>
            <w:tcW w:w="1633"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b w:val="0"/>
                <w:bCs w:val="0"/>
                <w:color w:val="auto"/>
                <w:sz w:val="21"/>
                <w:szCs w:val="21"/>
                <w:lang w:val="en-US" w:eastAsia="zh-CN"/>
              </w:rPr>
            </w:pPr>
          </w:p>
        </w:tc>
        <w:tc>
          <w:tcPr>
            <w:tcW w:w="2117"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kern w:val="2"/>
                <w:sz w:val="21"/>
                <w:szCs w:val="21"/>
                <w:lang w:val="en-US" w:eastAsia="zh-CN" w:bidi="ar-SA"/>
              </w:rPr>
            </w:pPr>
          </w:p>
        </w:tc>
        <w:tc>
          <w:tcPr>
            <w:tcW w:w="199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35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标段六</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sz w:val="21"/>
                <w:szCs w:val="21"/>
                <w:lang w:eastAsia="zh-CN"/>
              </w:rPr>
              <w:t>废铅</w:t>
            </w:r>
          </w:p>
        </w:tc>
        <w:tc>
          <w:tcPr>
            <w:tcW w:w="1149"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kern w:val="2"/>
                <w:sz w:val="21"/>
                <w:szCs w:val="21"/>
                <w:lang w:val="en-US" w:eastAsia="zh-CN" w:bidi="ar-SA"/>
              </w:rPr>
              <w:t>1</w:t>
            </w:r>
          </w:p>
        </w:tc>
        <w:tc>
          <w:tcPr>
            <w:tcW w:w="1633"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b w:val="0"/>
                <w:bCs w:val="0"/>
                <w:color w:val="auto"/>
                <w:sz w:val="21"/>
                <w:szCs w:val="21"/>
                <w:lang w:val="en-US" w:eastAsia="zh-CN"/>
              </w:rPr>
            </w:pPr>
          </w:p>
        </w:tc>
        <w:tc>
          <w:tcPr>
            <w:tcW w:w="2117"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kern w:val="2"/>
                <w:sz w:val="21"/>
                <w:szCs w:val="21"/>
                <w:lang w:val="en-US" w:eastAsia="zh-CN" w:bidi="ar-SA"/>
              </w:rPr>
            </w:pPr>
          </w:p>
        </w:tc>
        <w:tc>
          <w:tcPr>
            <w:tcW w:w="199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3726" w:type="dxa"/>
            <w:gridSpan w:val="3"/>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val="0"/>
                <w:bCs w:val="0"/>
                <w:color w:val="auto"/>
                <w:sz w:val="21"/>
                <w:szCs w:val="21"/>
                <w:lang w:val="en-US" w:eastAsia="zh-CN"/>
              </w:rPr>
              <w:t>合计</w:t>
            </w:r>
          </w:p>
        </w:tc>
        <w:tc>
          <w:tcPr>
            <w:tcW w:w="1633"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b w:val="0"/>
                <w:bCs w:val="0"/>
                <w:color w:val="auto"/>
                <w:sz w:val="21"/>
                <w:szCs w:val="21"/>
                <w:lang w:val="en-US" w:eastAsia="zh-CN"/>
              </w:rPr>
            </w:pPr>
          </w:p>
        </w:tc>
        <w:tc>
          <w:tcPr>
            <w:tcW w:w="2117"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kern w:val="2"/>
                <w:sz w:val="21"/>
                <w:szCs w:val="21"/>
                <w:lang w:val="en-US" w:eastAsia="zh-CN" w:bidi="ar-SA"/>
              </w:rPr>
            </w:pPr>
          </w:p>
        </w:tc>
        <w:tc>
          <w:tcPr>
            <w:tcW w:w="1995"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kern w:val="2"/>
                <w:sz w:val="21"/>
                <w:szCs w:val="21"/>
                <w:lang w:val="en-US" w:eastAsia="zh-CN" w:bidi="ar-SA"/>
              </w:rPr>
            </w:pPr>
          </w:p>
        </w:tc>
      </w:tr>
    </w:tbl>
    <w:p>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报价说明：</w:t>
      </w:r>
    </w:p>
    <w:p>
      <w:pPr>
        <w:keepNext w:val="0"/>
        <w:keepLines w:val="0"/>
        <w:pageBreakBefore w:val="0"/>
        <w:widowControl/>
        <w:suppressLineNumbers w:val="0"/>
        <w:tabs>
          <w:tab w:val="left" w:pos="220"/>
          <w:tab w:val="center" w:pos="4741"/>
        </w:tabs>
        <w:kinsoku/>
        <w:wordWrap/>
        <w:overflowPunct/>
        <w:topLinePunct w:val="0"/>
        <w:autoSpaceDE/>
        <w:autoSpaceDN/>
        <w:bidi w:val="0"/>
        <w:adjustRightInd/>
        <w:snapToGrid/>
        <w:spacing w:line="360" w:lineRule="auto"/>
        <w:ind w:firstLine="241" w:firstLineChars="100"/>
        <w:jc w:val="left"/>
        <w:textAlignment w:val="center"/>
        <w:rPr>
          <w:rFonts w:hint="eastAsia" w:asciiTheme="minorEastAsia" w:hAnsiTheme="minorEastAsia" w:eastAsiaTheme="minorEastAsia" w:cstheme="minorEastAsia"/>
          <w:b w:val="0"/>
          <w:bCs w:val="0"/>
          <w:i w:val="0"/>
          <w:color w:val="auto"/>
          <w:kern w:val="0"/>
          <w:sz w:val="24"/>
          <w:szCs w:val="24"/>
          <w:u w:val="none"/>
          <w:lang w:val="en-US" w:eastAsia="zh-CN" w:bidi="ar"/>
        </w:rPr>
      </w:pPr>
      <w:r>
        <w:rPr>
          <w:rFonts w:hint="eastAsia" w:asciiTheme="minorEastAsia" w:hAnsiTheme="minorEastAsia" w:eastAsiaTheme="minorEastAsia" w:cstheme="minorEastAsia"/>
          <w:b/>
          <w:bCs/>
          <w:i w:val="0"/>
          <w:color w:val="auto"/>
          <w:kern w:val="0"/>
          <w:sz w:val="24"/>
          <w:szCs w:val="24"/>
          <w:u w:val="none"/>
          <w:lang w:val="en-US" w:eastAsia="zh-CN" w:bidi="ar"/>
        </w:rPr>
        <w:t>1、</w:t>
      </w:r>
      <w:r>
        <w:rPr>
          <w:rFonts w:hint="eastAsia" w:asciiTheme="minorEastAsia" w:hAnsiTheme="minorEastAsia" w:eastAsiaTheme="minorEastAsia" w:cstheme="minorEastAsia"/>
          <w:b/>
          <w:bCs/>
          <w:color w:val="auto"/>
          <w:kern w:val="0"/>
          <w:sz w:val="24"/>
          <w:szCs w:val="24"/>
          <w:highlight w:val="none"/>
          <w:lang w:val="en-US" w:eastAsia="zh-CN"/>
        </w:rPr>
        <w:t>各标段物资投</w:t>
      </w:r>
      <w:r>
        <w:rPr>
          <w:rFonts w:hint="eastAsia" w:asciiTheme="minorEastAsia" w:hAnsiTheme="minorEastAsia" w:eastAsiaTheme="minorEastAsia" w:cstheme="minorEastAsia"/>
          <w:b/>
          <w:bCs/>
          <w:color w:val="auto"/>
          <w:kern w:val="0"/>
          <w:sz w:val="24"/>
          <w:szCs w:val="24"/>
          <w:lang w:val="en-US" w:eastAsia="zh-CN"/>
        </w:rPr>
        <w:t>标单价报价不得低于控制单价，否则将被否决投标；</w:t>
      </w:r>
    </w:p>
    <w:p>
      <w:pPr>
        <w:keepNext w:val="0"/>
        <w:keepLines w:val="0"/>
        <w:pageBreakBefore w:val="0"/>
        <w:widowControl/>
        <w:suppressLineNumbers w:val="0"/>
        <w:tabs>
          <w:tab w:val="left" w:pos="220"/>
          <w:tab w:val="center" w:pos="4741"/>
        </w:tabs>
        <w:kinsoku/>
        <w:wordWrap/>
        <w:overflowPunct/>
        <w:topLinePunct w:val="0"/>
        <w:autoSpaceDE/>
        <w:autoSpaceDN/>
        <w:bidi w:val="0"/>
        <w:adjustRightInd/>
        <w:snapToGrid/>
        <w:spacing w:line="360" w:lineRule="auto"/>
        <w:ind w:firstLine="240" w:firstLineChars="100"/>
        <w:jc w:val="left"/>
        <w:textAlignment w:val="center"/>
        <w:rPr>
          <w:rFonts w:hint="eastAsia" w:asciiTheme="minorEastAsia" w:hAnsiTheme="minorEastAsia" w:eastAsiaTheme="minorEastAsia" w:cstheme="minorEastAsia"/>
          <w:b w:val="0"/>
          <w:bCs w:val="0"/>
          <w:i w:val="0"/>
          <w:color w:val="auto"/>
          <w:kern w:val="0"/>
          <w:sz w:val="24"/>
          <w:szCs w:val="24"/>
          <w:u w:val="none"/>
          <w:lang w:val="en-US" w:eastAsia="zh-CN" w:bidi="ar"/>
        </w:rPr>
      </w:pPr>
      <w:r>
        <w:rPr>
          <w:rFonts w:hint="eastAsia" w:asciiTheme="minorEastAsia" w:hAnsiTheme="minorEastAsia" w:eastAsiaTheme="minorEastAsia" w:cstheme="minorEastAsia"/>
          <w:b w:val="0"/>
          <w:bCs w:val="0"/>
          <w:i w:val="0"/>
          <w:color w:val="auto"/>
          <w:kern w:val="0"/>
          <w:sz w:val="24"/>
          <w:szCs w:val="24"/>
          <w:u w:val="none"/>
          <w:lang w:val="en-US" w:eastAsia="zh-CN" w:bidi="ar"/>
        </w:rPr>
        <w:t>2、各投标人可就上述标段中的多个标段同时投标，并允许同时中标多个标段，不参加标段画“/”或是填写“无”；</w:t>
      </w:r>
    </w:p>
    <w:p>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Theme="minorEastAsia" w:hAnsiTheme="minorEastAsia" w:eastAsiaTheme="minorEastAsia" w:cstheme="minorEastAsia"/>
          <w:b w:val="0"/>
          <w:bCs w:val="0"/>
          <w:i w:val="0"/>
          <w:color w:val="auto"/>
          <w:kern w:val="0"/>
          <w:sz w:val="24"/>
          <w:szCs w:val="24"/>
          <w:u w:val="none"/>
          <w:lang w:val="en-US" w:eastAsia="zh-CN" w:bidi="ar"/>
        </w:rPr>
      </w:pPr>
      <w:r>
        <w:rPr>
          <w:rFonts w:hint="eastAsia" w:asciiTheme="minorEastAsia" w:hAnsiTheme="minorEastAsia" w:eastAsiaTheme="minorEastAsia" w:cstheme="minorEastAsia"/>
          <w:b w:val="0"/>
          <w:bCs w:val="0"/>
          <w:i w:val="0"/>
          <w:color w:val="auto"/>
          <w:kern w:val="0"/>
          <w:sz w:val="24"/>
          <w:szCs w:val="24"/>
          <w:u w:val="none"/>
          <w:lang w:val="en-US" w:eastAsia="zh-CN" w:bidi="ar"/>
        </w:rPr>
        <w:t>3、每一标段各投标人仅有一次报价机会，最高价中标（即投标文件中的报价为最终报价，若最高报价有相同的，则仅允许最高报价相同的投标人再次报价，报价不低于第一轮的最高报价，直至确定最高报价的投标人即可）；</w:t>
      </w:r>
    </w:p>
    <w:p>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4</w:t>
      </w:r>
      <w:r>
        <w:rPr>
          <w:rFonts w:hint="eastAsia" w:asciiTheme="minorEastAsia" w:hAnsiTheme="minorEastAsia" w:eastAsiaTheme="minorEastAsia" w:cstheme="minorEastAsia"/>
          <w:b w:val="0"/>
          <w:bCs w:val="0"/>
          <w:color w:val="auto"/>
          <w:kern w:val="0"/>
          <w:sz w:val="24"/>
          <w:szCs w:val="24"/>
        </w:rPr>
        <w:t>、上表物资投标报价按单价、总价报价,投标总价仅作为评标参考使用，合同履行期间</w:t>
      </w:r>
      <w:r>
        <w:rPr>
          <w:rFonts w:hint="eastAsia" w:asciiTheme="minorEastAsia" w:hAnsiTheme="minorEastAsia" w:eastAsiaTheme="minorEastAsia" w:cstheme="minorEastAsia"/>
          <w:b w:val="0"/>
          <w:bCs w:val="0"/>
          <w:color w:val="auto"/>
          <w:sz w:val="24"/>
          <w:szCs w:val="24"/>
        </w:rPr>
        <w:t>以实际过磅数量为准</w:t>
      </w:r>
      <w:r>
        <w:rPr>
          <w:rFonts w:hint="eastAsia" w:asciiTheme="minorEastAsia" w:hAnsiTheme="minorEastAsia" w:eastAsiaTheme="minorEastAsia" w:cstheme="minorEastAsia"/>
          <w:b w:val="0"/>
          <w:bCs w:val="0"/>
          <w:color w:val="auto"/>
          <w:sz w:val="24"/>
          <w:szCs w:val="24"/>
          <w:lang w:eastAsia="zh-CN"/>
        </w:rPr>
        <w:t>、按单价进行结算</w:t>
      </w:r>
      <w:r>
        <w:rPr>
          <w:rFonts w:hint="eastAsia" w:asciiTheme="minorEastAsia" w:hAnsiTheme="minorEastAsia" w:eastAsiaTheme="minorEastAsia" w:cstheme="minorEastAsia"/>
          <w:b w:val="0"/>
          <w:bCs w:val="0"/>
          <w:color w:val="auto"/>
          <w:kern w:val="0"/>
          <w:sz w:val="24"/>
          <w:szCs w:val="24"/>
        </w:rPr>
        <w:t>；</w:t>
      </w:r>
    </w:p>
    <w:p>
      <w:pPr>
        <w:pStyle w:val="41"/>
        <w:keepNext w:val="0"/>
        <w:keepLines w:val="0"/>
        <w:pageBreakBefore w:val="0"/>
        <w:kinsoku/>
        <w:wordWrap/>
        <w:overflowPunct/>
        <w:topLinePunct w:val="0"/>
        <w:autoSpaceDE/>
        <w:autoSpaceDN/>
        <w:bidi w:val="0"/>
        <w:adjustRightInd/>
        <w:snapToGrid/>
        <w:spacing w:line="360" w:lineRule="auto"/>
        <w:ind w:left="0" w:leftChars="0" w:firstLine="241" w:firstLineChars="10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bCs/>
          <w:color w:val="auto"/>
          <w:kern w:val="0"/>
          <w:sz w:val="24"/>
          <w:szCs w:val="24"/>
          <w:lang w:val="en-US" w:eastAsia="zh-CN"/>
        </w:rPr>
        <w:t>5</w:t>
      </w:r>
      <w:r>
        <w:rPr>
          <w:rFonts w:hint="eastAsia" w:asciiTheme="minorEastAsia" w:hAnsiTheme="minorEastAsia" w:eastAsiaTheme="minorEastAsia" w:cstheme="minorEastAsia"/>
          <w:b/>
          <w:bCs/>
          <w:color w:val="auto"/>
          <w:kern w:val="0"/>
          <w:sz w:val="24"/>
          <w:szCs w:val="24"/>
        </w:rPr>
        <w:t>、此报价为含各种税费，税率按国家标准，厂区自提价格；</w:t>
      </w:r>
    </w:p>
    <w:p>
      <w:pPr>
        <w:pStyle w:val="41"/>
        <w:keepNext w:val="0"/>
        <w:keepLines w:val="0"/>
        <w:pageBreakBefore w:val="0"/>
        <w:kinsoku/>
        <w:wordWrap/>
        <w:overflowPunct/>
        <w:topLinePunct w:val="0"/>
        <w:autoSpaceDE/>
        <w:autoSpaceDN/>
        <w:bidi w:val="0"/>
        <w:adjustRightInd/>
        <w:snapToGrid/>
        <w:spacing w:line="360" w:lineRule="auto"/>
        <w:ind w:left="0" w:leftChars="0" w:firstLine="240" w:firstLineChars="100"/>
        <w:outlineLvl w:val="9"/>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lang w:val="en-US" w:eastAsia="zh-CN"/>
        </w:rPr>
        <w:t>6</w:t>
      </w:r>
      <w:r>
        <w:rPr>
          <w:rFonts w:hint="eastAsia" w:asciiTheme="minorEastAsia" w:hAnsiTheme="minorEastAsia" w:eastAsiaTheme="minorEastAsia" w:cstheme="minorEastAsia"/>
          <w:b w:val="0"/>
          <w:bCs w:val="0"/>
          <w:color w:val="auto"/>
          <w:kern w:val="0"/>
          <w:sz w:val="24"/>
          <w:szCs w:val="24"/>
        </w:rPr>
        <w:t>、中标单位在收到中标通知书后与招标</w:t>
      </w:r>
      <w:r>
        <w:rPr>
          <w:rFonts w:hint="eastAsia" w:asciiTheme="minorEastAsia" w:hAnsiTheme="minorEastAsia" w:eastAsiaTheme="minorEastAsia" w:cstheme="minorEastAsia"/>
          <w:b w:val="0"/>
          <w:bCs w:val="0"/>
          <w:color w:val="auto"/>
          <w:kern w:val="0"/>
          <w:sz w:val="24"/>
          <w:szCs w:val="24"/>
          <w:lang w:eastAsia="zh-CN"/>
        </w:rPr>
        <w:t>人</w:t>
      </w:r>
      <w:r>
        <w:rPr>
          <w:rFonts w:hint="eastAsia" w:asciiTheme="minorEastAsia" w:hAnsiTheme="minorEastAsia" w:eastAsiaTheme="minorEastAsia" w:cstheme="minorEastAsia"/>
          <w:b w:val="0"/>
          <w:bCs w:val="0"/>
          <w:color w:val="auto"/>
          <w:kern w:val="0"/>
          <w:sz w:val="24"/>
          <w:szCs w:val="24"/>
        </w:rPr>
        <w:t>签订购销合同。</w:t>
      </w:r>
    </w:p>
    <w:p>
      <w:pPr>
        <w:pStyle w:val="41"/>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Theme="minorEastAsia" w:hAnsiTheme="minorEastAsia" w:eastAsiaTheme="minorEastAsia" w:cstheme="minorEastAsia"/>
          <w:b/>
          <w:bCs/>
          <w:color w:val="auto"/>
          <w:kern w:val="0"/>
          <w:sz w:val="24"/>
          <w:szCs w:val="24"/>
          <w:lang w:val="en-US" w:eastAsia="zh-CN"/>
        </w:rPr>
      </w:pPr>
      <w:r>
        <w:rPr>
          <w:rFonts w:hint="eastAsia" w:asciiTheme="minorEastAsia" w:hAnsiTheme="minorEastAsia" w:eastAsiaTheme="minorEastAsia" w:cstheme="minorEastAsia"/>
          <w:b/>
          <w:bCs/>
          <w:color w:val="auto"/>
          <w:kern w:val="0"/>
          <w:sz w:val="24"/>
          <w:szCs w:val="24"/>
          <w:lang w:val="en-US" w:eastAsia="zh-CN"/>
        </w:rPr>
        <w:t>投标人： （盖章）</w:t>
      </w:r>
    </w:p>
    <w:p>
      <w:pPr>
        <w:pStyle w:val="41"/>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b/>
          <w:bCs/>
          <w:color w:val="auto"/>
          <w:sz w:val="28"/>
          <w:szCs w:val="28"/>
        </w:rPr>
      </w:pPr>
      <w:r>
        <w:rPr>
          <w:rFonts w:hint="eastAsia" w:asciiTheme="minorEastAsia" w:hAnsiTheme="minorEastAsia" w:eastAsiaTheme="minorEastAsia" w:cstheme="minorEastAsia"/>
          <w:b/>
          <w:bCs/>
          <w:color w:val="auto"/>
          <w:kern w:val="0"/>
          <w:sz w:val="24"/>
          <w:szCs w:val="24"/>
          <w:lang w:val="en-US" w:eastAsia="zh-CN"/>
        </w:rPr>
        <w:t>法定代表人或委托代理人： （签字或盖章）    日期：    年    月    日</w:t>
      </w:r>
      <w:r>
        <w:rPr>
          <w:rFonts w:hint="eastAsia" w:asciiTheme="minorEastAsia" w:hAnsiTheme="minorEastAsia" w:eastAsiaTheme="minorEastAsia" w:cstheme="minorEastAsia"/>
          <w:b/>
          <w:bCs/>
          <w:color w:val="auto"/>
          <w:sz w:val="24"/>
          <w:szCs w:val="24"/>
        </w:rPr>
        <w:br w:type="page"/>
      </w:r>
    </w:p>
    <w:p>
      <w:pPr>
        <w:pStyle w:val="41"/>
        <w:ind w:left="0" w:leftChars="0" w:firstLine="0" w:firstLineChars="0"/>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rPr>
        <w:t>附件</w:t>
      </w:r>
      <w:r>
        <w:rPr>
          <w:rFonts w:hint="eastAsia" w:ascii="宋体" w:hAnsi="宋体" w:eastAsia="宋体" w:cs="宋体"/>
          <w:b/>
          <w:bCs/>
          <w:color w:val="auto"/>
          <w:sz w:val="28"/>
          <w:szCs w:val="28"/>
          <w:lang w:val="en-US" w:eastAsia="zh-CN"/>
        </w:rPr>
        <w:t>5</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投标保证金汇款底单(附开户许可证)</w:t>
      </w:r>
    </w:p>
    <w:p>
      <w:pPr>
        <w:pStyle w:val="41"/>
        <w:ind w:left="0" w:leftChars="0" w:firstLine="0" w:firstLineChars="0"/>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pStyle w:val="41"/>
        <w:ind w:left="0" w:leftChars="0" w:firstLine="0" w:firstLineChars="0"/>
        <w:outlineLvl w:val="1"/>
        <w:rPr>
          <w:color w:val="auto"/>
          <w:highlight w:val="none"/>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rPr>
        <w:t xml:space="preserve">  商务偏离表</w:t>
      </w:r>
      <w:bookmarkEnd w:id="254"/>
      <w:bookmarkEnd w:id="255"/>
      <w:bookmarkEnd w:id="256"/>
      <w:bookmarkEnd w:id="257"/>
      <w:bookmarkEnd w:id="258"/>
    </w:p>
    <w:tbl>
      <w:tblPr>
        <w:tblStyle w:val="23"/>
        <w:tblpPr w:leftFromText="180" w:rightFromText="180" w:vertAnchor="text" w:horzAnchor="page" w:tblpX="1778" w:tblpY="305"/>
        <w:tblOverlap w:val="never"/>
        <w:tblW w:w="8972" w:type="dxa"/>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28" w:type="dxa"/>
          <w:bottom w:w="0" w:type="dxa"/>
          <w:right w:w="28" w:type="dxa"/>
        </w:tblCellMar>
      </w:tblPr>
      <w:tblGrid>
        <w:gridCol w:w="659"/>
        <w:gridCol w:w="1663"/>
        <w:gridCol w:w="2064"/>
        <w:gridCol w:w="2064"/>
        <w:gridCol w:w="1060"/>
        <w:gridCol w:w="1462"/>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cantSplit/>
          <w:trHeight w:val="216" w:hRule="atLeast"/>
        </w:trPr>
        <w:tc>
          <w:tcPr>
            <w:tcW w:w="659" w:type="dxa"/>
            <w:shd w:val="clear" w:color="auto" w:fill="D9D9D9"/>
            <w:vAlign w:val="center"/>
          </w:tcPr>
          <w:p>
            <w:pPr>
              <w:spacing w:beforeLines="50" w:afterLines="50"/>
              <w:jc w:val="center"/>
              <w:rPr>
                <w:rFonts w:asciiTheme="minorEastAsia" w:hAnsiTheme="minorEastAsia" w:eastAsiaTheme="minorEastAsia"/>
                <w:b/>
                <w:color w:val="auto"/>
                <w:kern w:val="0"/>
                <w:szCs w:val="21"/>
                <w:lang w:val="en-GB" w:eastAsia="en-US"/>
              </w:rPr>
            </w:pPr>
            <w:r>
              <w:rPr>
                <w:rFonts w:hint="eastAsia" w:asciiTheme="minorEastAsia" w:hAnsiTheme="minorEastAsia" w:eastAsiaTheme="minorEastAsia"/>
                <w:b/>
                <w:color w:val="auto"/>
                <w:kern w:val="0"/>
                <w:szCs w:val="21"/>
                <w:lang w:val="en-GB" w:eastAsia="en-US"/>
              </w:rPr>
              <w:t>序号</w:t>
            </w:r>
          </w:p>
        </w:tc>
        <w:tc>
          <w:tcPr>
            <w:tcW w:w="1663" w:type="dxa"/>
            <w:shd w:val="clear" w:color="auto" w:fill="D9D9D9"/>
            <w:vAlign w:val="center"/>
          </w:tcPr>
          <w:p>
            <w:pPr>
              <w:spacing w:beforeLines="50" w:afterLines="50"/>
              <w:jc w:val="center"/>
              <w:rPr>
                <w:rFonts w:asciiTheme="minorEastAsia" w:hAnsiTheme="minorEastAsia" w:eastAsiaTheme="minorEastAsia"/>
                <w:b/>
                <w:color w:val="auto"/>
                <w:kern w:val="0"/>
                <w:szCs w:val="21"/>
                <w:lang w:val="en-GB" w:eastAsia="en-US"/>
              </w:rPr>
            </w:pPr>
            <w:r>
              <w:rPr>
                <w:rFonts w:hint="eastAsia" w:asciiTheme="minorEastAsia" w:hAnsiTheme="minorEastAsia" w:eastAsiaTheme="minorEastAsia"/>
                <w:b/>
                <w:color w:val="auto"/>
                <w:kern w:val="0"/>
                <w:szCs w:val="21"/>
                <w:lang w:val="en-GB" w:eastAsia="en-US"/>
              </w:rPr>
              <w:t>招标文件条目号</w:t>
            </w:r>
          </w:p>
        </w:tc>
        <w:tc>
          <w:tcPr>
            <w:tcW w:w="2064" w:type="dxa"/>
            <w:shd w:val="clear" w:color="auto" w:fill="D9D9D9"/>
            <w:vAlign w:val="center"/>
          </w:tcPr>
          <w:p>
            <w:pPr>
              <w:spacing w:beforeLines="50" w:afterLines="50"/>
              <w:jc w:val="center"/>
              <w:rPr>
                <w:rFonts w:asciiTheme="minorEastAsia" w:hAnsiTheme="minorEastAsia" w:eastAsiaTheme="minorEastAsia"/>
                <w:b/>
                <w:color w:val="auto"/>
                <w:kern w:val="0"/>
                <w:szCs w:val="21"/>
                <w:lang w:val="en-GB" w:eastAsia="en-US"/>
              </w:rPr>
            </w:pPr>
            <w:r>
              <w:rPr>
                <w:rFonts w:hint="eastAsia" w:asciiTheme="minorEastAsia" w:hAnsiTheme="minorEastAsia" w:eastAsiaTheme="minorEastAsia"/>
                <w:b/>
                <w:color w:val="auto"/>
                <w:kern w:val="0"/>
                <w:szCs w:val="21"/>
                <w:lang w:val="en-GB" w:eastAsia="en-US"/>
              </w:rPr>
              <w:t>招标文件的商务条款</w:t>
            </w:r>
          </w:p>
        </w:tc>
        <w:tc>
          <w:tcPr>
            <w:tcW w:w="2064" w:type="dxa"/>
            <w:shd w:val="clear" w:color="auto" w:fill="D9D9D9"/>
            <w:vAlign w:val="center"/>
          </w:tcPr>
          <w:p>
            <w:pPr>
              <w:spacing w:beforeLines="50" w:afterLines="50"/>
              <w:jc w:val="center"/>
              <w:rPr>
                <w:rFonts w:asciiTheme="minorEastAsia" w:hAnsiTheme="minorEastAsia" w:eastAsiaTheme="minorEastAsia"/>
                <w:b/>
                <w:color w:val="auto"/>
                <w:kern w:val="0"/>
                <w:szCs w:val="21"/>
                <w:lang w:val="en-GB" w:eastAsia="en-US"/>
              </w:rPr>
            </w:pPr>
            <w:r>
              <w:rPr>
                <w:rFonts w:hint="eastAsia" w:asciiTheme="minorEastAsia" w:hAnsiTheme="minorEastAsia" w:eastAsiaTheme="minorEastAsia"/>
                <w:b/>
                <w:color w:val="auto"/>
                <w:kern w:val="0"/>
                <w:szCs w:val="21"/>
                <w:lang w:val="en-GB" w:eastAsia="en-US"/>
              </w:rPr>
              <w:t>投标文件的商务条款</w:t>
            </w:r>
          </w:p>
        </w:tc>
        <w:tc>
          <w:tcPr>
            <w:tcW w:w="1060" w:type="dxa"/>
            <w:tcBorders>
              <w:right w:val="single" w:color="auto" w:sz="4" w:space="0"/>
            </w:tcBorders>
            <w:shd w:val="clear" w:color="auto" w:fill="D9D9D9"/>
            <w:vAlign w:val="center"/>
          </w:tcPr>
          <w:p>
            <w:pPr>
              <w:spacing w:beforeLines="50" w:afterLines="50"/>
              <w:jc w:val="center"/>
              <w:rPr>
                <w:rFonts w:asciiTheme="minorEastAsia" w:hAnsiTheme="minorEastAsia" w:eastAsiaTheme="minorEastAsia"/>
                <w:b/>
                <w:color w:val="auto"/>
                <w:kern w:val="0"/>
                <w:szCs w:val="21"/>
                <w:lang w:val="en-GB" w:eastAsia="en-US"/>
              </w:rPr>
            </w:pPr>
            <w:r>
              <w:rPr>
                <w:rFonts w:hint="eastAsia" w:asciiTheme="minorEastAsia" w:hAnsiTheme="minorEastAsia" w:eastAsiaTheme="minorEastAsia"/>
                <w:b/>
                <w:color w:val="auto"/>
                <w:kern w:val="0"/>
                <w:szCs w:val="21"/>
                <w:lang w:val="en-GB" w:eastAsia="en-US"/>
              </w:rPr>
              <w:t>偏差说明</w:t>
            </w:r>
          </w:p>
        </w:tc>
        <w:tc>
          <w:tcPr>
            <w:tcW w:w="1462" w:type="dxa"/>
            <w:tcBorders>
              <w:left w:val="single" w:color="auto" w:sz="4" w:space="0"/>
            </w:tcBorders>
            <w:shd w:val="clear" w:color="auto" w:fill="D9D9D9"/>
            <w:vAlign w:val="center"/>
          </w:tcPr>
          <w:p>
            <w:pPr>
              <w:spacing w:beforeLines="50" w:afterLines="50"/>
              <w:jc w:val="center"/>
              <w:rPr>
                <w:rFonts w:asciiTheme="minorEastAsia" w:hAnsiTheme="minorEastAsia" w:eastAsiaTheme="minorEastAsia"/>
                <w:b/>
                <w:color w:val="auto"/>
                <w:kern w:val="0"/>
                <w:szCs w:val="21"/>
                <w:lang w:val="en-GB" w:eastAsia="en-US"/>
              </w:rPr>
            </w:pPr>
            <w:r>
              <w:rPr>
                <w:rFonts w:hint="eastAsia" w:asciiTheme="minorEastAsia" w:hAnsiTheme="minorEastAsia" w:eastAsiaTheme="minorEastAsia"/>
                <w:b/>
                <w:color w:val="auto"/>
                <w:kern w:val="0"/>
                <w:szCs w:val="21"/>
                <w:lang w:val="en-GB" w:eastAsia="en-US"/>
              </w:rPr>
              <w:t>投标文件编号</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cantSplit/>
          <w:trHeight w:val="354" w:hRule="atLeast"/>
        </w:trPr>
        <w:tc>
          <w:tcPr>
            <w:tcW w:w="659" w:type="dxa"/>
          </w:tcPr>
          <w:p>
            <w:pPr>
              <w:spacing w:beforeLines="50" w:afterLines="50"/>
              <w:jc w:val="left"/>
              <w:rPr>
                <w:rFonts w:asciiTheme="minorEastAsia" w:hAnsiTheme="minorEastAsia" w:eastAsiaTheme="minorEastAsia"/>
                <w:color w:val="auto"/>
                <w:szCs w:val="21"/>
                <w:lang w:val="en-GB"/>
              </w:rPr>
            </w:pPr>
          </w:p>
        </w:tc>
        <w:tc>
          <w:tcPr>
            <w:tcW w:w="1663" w:type="dxa"/>
          </w:tcPr>
          <w:p>
            <w:pPr>
              <w:spacing w:beforeLines="50" w:afterLines="50"/>
              <w:jc w:val="left"/>
              <w:rPr>
                <w:rFonts w:asciiTheme="minorEastAsia" w:hAnsiTheme="minorEastAsia" w:eastAsiaTheme="minorEastAsia"/>
                <w:color w:val="auto"/>
                <w:szCs w:val="21"/>
                <w:lang w:val="en-GB"/>
              </w:rPr>
            </w:pPr>
          </w:p>
        </w:tc>
        <w:tc>
          <w:tcPr>
            <w:tcW w:w="2064" w:type="dxa"/>
          </w:tcPr>
          <w:p>
            <w:pPr>
              <w:spacing w:beforeLines="50" w:afterLines="50"/>
              <w:jc w:val="left"/>
              <w:rPr>
                <w:rFonts w:asciiTheme="minorEastAsia" w:hAnsiTheme="minorEastAsia" w:eastAsiaTheme="minorEastAsia"/>
                <w:color w:val="auto"/>
                <w:szCs w:val="21"/>
                <w:lang w:val="en-GB"/>
              </w:rPr>
            </w:pPr>
          </w:p>
        </w:tc>
        <w:tc>
          <w:tcPr>
            <w:tcW w:w="2064" w:type="dxa"/>
          </w:tcPr>
          <w:p>
            <w:pPr>
              <w:spacing w:beforeLines="50" w:afterLines="50"/>
              <w:jc w:val="left"/>
              <w:rPr>
                <w:rFonts w:asciiTheme="minorEastAsia" w:hAnsiTheme="minorEastAsia" w:eastAsiaTheme="minorEastAsia"/>
                <w:color w:val="auto"/>
                <w:szCs w:val="21"/>
                <w:lang w:val="en-GB"/>
              </w:rPr>
            </w:pPr>
          </w:p>
        </w:tc>
        <w:tc>
          <w:tcPr>
            <w:tcW w:w="1060" w:type="dxa"/>
            <w:tcBorders>
              <w:right w:val="single" w:color="auto" w:sz="4" w:space="0"/>
            </w:tcBorders>
          </w:tcPr>
          <w:p>
            <w:pPr>
              <w:spacing w:beforeLines="50" w:afterLines="50"/>
              <w:jc w:val="left"/>
              <w:rPr>
                <w:rFonts w:asciiTheme="minorEastAsia" w:hAnsiTheme="minorEastAsia" w:eastAsiaTheme="minorEastAsia"/>
                <w:color w:val="auto"/>
                <w:szCs w:val="21"/>
                <w:lang w:val="en-GB"/>
              </w:rPr>
            </w:pPr>
          </w:p>
        </w:tc>
        <w:tc>
          <w:tcPr>
            <w:tcW w:w="1462" w:type="dxa"/>
            <w:tcBorders>
              <w:left w:val="single" w:color="auto" w:sz="4" w:space="0"/>
            </w:tcBorders>
          </w:tcPr>
          <w:p>
            <w:pPr>
              <w:spacing w:beforeLines="50" w:afterLines="50"/>
              <w:jc w:val="left"/>
              <w:rPr>
                <w:rFonts w:asciiTheme="minorEastAsia" w:hAnsiTheme="minorEastAsia" w:eastAsiaTheme="minorEastAsia"/>
                <w:color w:val="auto"/>
                <w:szCs w:val="21"/>
                <w:lang w:val="en-GB"/>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cantSplit/>
          <w:trHeight w:val="354" w:hRule="atLeast"/>
        </w:trPr>
        <w:tc>
          <w:tcPr>
            <w:tcW w:w="659" w:type="dxa"/>
          </w:tcPr>
          <w:p>
            <w:pPr>
              <w:spacing w:beforeLines="50" w:afterLines="50"/>
              <w:jc w:val="left"/>
              <w:rPr>
                <w:rFonts w:asciiTheme="minorEastAsia" w:hAnsiTheme="minorEastAsia" w:eastAsiaTheme="minorEastAsia"/>
                <w:color w:val="auto"/>
                <w:szCs w:val="21"/>
                <w:lang w:val="en-GB"/>
              </w:rPr>
            </w:pPr>
          </w:p>
        </w:tc>
        <w:tc>
          <w:tcPr>
            <w:tcW w:w="1663" w:type="dxa"/>
          </w:tcPr>
          <w:p>
            <w:pPr>
              <w:spacing w:beforeLines="50" w:afterLines="50"/>
              <w:jc w:val="left"/>
              <w:rPr>
                <w:rFonts w:asciiTheme="minorEastAsia" w:hAnsiTheme="minorEastAsia" w:eastAsiaTheme="minorEastAsia"/>
                <w:color w:val="auto"/>
                <w:szCs w:val="21"/>
                <w:lang w:val="en-GB"/>
              </w:rPr>
            </w:pPr>
          </w:p>
        </w:tc>
        <w:tc>
          <w:tcPr>
            <w:tcW w:w="2064" w:type="dxa"/>
          </w:tcPr>
          <w:p>
            <w:pPr>
              <w:spacing w:beforeLines="50" w:afterLines="50"/>
              <w:jc w:val="left"/>
              <w:rPr>
                <w:rFonts w:asciiTheme="minorEastAsia" w:hAnsiTheme="minorEastAsia" w:eastAsiaTheme="minorEastAsia"/>
                <w:color w:val="auto"/>
                <w:szCs w:val="21"/>
                <w:lang w:val="en-GB"/>
              </w:rPr>
            </w:pPr>
          </w:p>
        </w:tc>
        <w:tc>
          <w:tcPr>
            <w:tcW w:w="2064" w:type="dxa"/>
          </w:tcPr>
          <w:p>
            <w:pPr>
              <w:spacing w:beforeLines="50" w:afterLines="50"/>
              <w:jc w:val="left"/>
              <w:rPr>
                <w:rFonts w:asciiTheme="minorEastAsia" w:hAnsiTheme="minorEastAsia" w:eastAsiaTheme="minorEastAsia"/>
                <w:color w:val="auto"/>
                <w:szCs w:val="21"/>
                <w:lang w:val="en-GB"/>
              </w:rPr>
            </w:pPr>
          </w:p>
        </w:tc>
        <w:tc>
          <w:tcPr>
            <w:tcW w:w="1060" w:type="dxa"/>
            <w:tcBorders>
              <w:right w:val="single" w:color="auto" w:sz="4" w:space="0"/>
            </w:tcBorders>
          </w:tcPr>
          <w:p>
            <w:pPr>
              <w:spacing w:beforeLines="50" w:afterLines="50"/>
              <w:jc w:val="left"/>
              <w:rPr>
                <w:rFonts w:asciiTheme="minorEastAsia" w:hAnsiTheme="minorEastAsia" w:eastAsiaTheme="minorEastAsia"/>
                <w:color w:val="auto"/>
                <w:szCs w:val="21"/>
                <w:lang w:val="en-GB"/>
              </w:rPr>
            </w:pPr>
          </w:p>
        </w:tc>
        <w:tc>
          <w:tcPr>
            <w:tcW w:w="1462" w:type="dxa"/>
            <w:tcBorders>
              <w:left w:val="single" w:color="auto" w:sz="4" w:space="0"/>
            </w:tcBorders>
          </w:tcPr>
          <w:p>
            <w:pPr>
              <w:spacing w:beforeLines="50" w:afterLines="50"/>
              <w:jc w:val="left"/>
              <w:rPr>
                <w:rFonts w:asciiTheme="minorEastAsia" w:hAnsiTheme="minorEastAsia" w:eastAsiaTheme="minorEastAsia"/>
                <w:color w:val="auto"/>
                <w:szCs w:val="21"/>
                <w:lang w:val="en-GB"/>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cantSplit/>
          <w:trHeight w:val="354" w:hRule="atLeast"/>
        </w:trPr>
        <w:tc>
          <w:tcPr>
            <w:tcW w:w="659" w:type="dxa"/>
          </w:tcPr>
          <w:p>
            <w:pPr>
              <w:spacing w:beforeLines="50" w:afterLines="50"/>
              <w:jc w:val="left"/>
              <w:rPr>
                <w:rFonts w:asciiTheme="minorEastAsia" w:hAnsiTheme="minorEastAsia" w:eastAsiaTheme="minorEastAsia"/>
                <w:color w:val="auto"/>
                <w:szCs w:val="21"/>
                <w:lang w:val="en-GB"/>
              </w:rPr>
            </w:pPr>
          </w:p>
        </w:tc>
        <w:tc>
          <w:tcPr>
            <w:tcW w:w="1663" w:type="dxa"/>
          </w:tcPr>
          <w:p>
            <w:pPr>
              <w:spacing w:beforeLines="50" w:afterLines="50"/>
              <w:jc w:val="left"/>
              <w:rPr>
                <w:rFonts w:asciiTheme="minorEastAsia" w:hAnsiTheme="minorEastAsia" w:eastAsiaTheme="minorEastAsia"/>
                <w:color w:val="auto"/>
                <w:szCs w:val="21"/>
                <w:lang w:val="en-GB"/>
              </w:rPr>
            </w:pPr>
          </w:p>
        </w:tc>
        <w:tc>
          <w:tcPr>
            <w:tcW w:w="2064" w:type="dxa"/>
          </w:tcPr>
          <w:p>
            <w:pPr>
              <w:spacing w:beforeLines="50" w:afterLines="50"/>
              <w:jc w:val="left"/>
              <w:rPr>
                <w:rFonts w:asciiTheme="minorEastAsia" w:hAnsiTheme="minorEastAsia" w:eastAsiaTheme="minorEastAsia"/>
                <w:color w:val="auto"/>
                <w:szCs w:val="21"/>
                <w:lang w:val="en-GB"/>
              </w:rPr>
            </w:pPr>
          </w:p>
        </w:tc>
        <w:tc>
          <w:tcPr>
            <w:tcW w:w="2064" w:type="dxa"/>
          </w:tcPr>
          <w:p>
            <w:pPr>
              <w:spacing w:beforeLines="50" w:afterLines="50"/>
              <w:jc w:val="left"/>
              <w:rPr>
                <w:rFonts w:asciiTheme="minorEastAsia" w:hAnsiTheme="minorEastAsia" w:eastAsiaTheme="minorEastAsia"/>
                <w:color w:val="auto"/>
                <w:szCs w:val="21"/>
                <w:lang w:val="en-GB"/>
              </w:rPr>
            </w:pPr>
          </w:p>
        </w:tc>
        <w:tc>
          <w:tcPr>
            <w:tcW w:w="1060" w:type="dxa"/>
            <w:tcBorders>
              <w:right w:val="single" w:color="auto" w:sz="4" w:space="0"/>
            </w:tcBorders>
          </w:tcPr>
          <w:p>
            <w:pPr>
              <w:spacing w:beforeLines="50" w:afterLines="50"/>
              <w:jc w:val="left"/>
              <w:rPr>
                <w:rFonts w:asciiTheme="minorEastAsia" w:hAnsiTheme="minorEastAsia" w:eastAsiaTheme="minorEastAsia"/>
                <w:color w:val="auto"/>
                <w:szCs w:val="21"/>
                <w:lang w:val="en-GB"/>
              </w:rPr>
            </w:pPr>
          </w:p>
        </w:tc>
        <w:tc>
          <w:tcPr>
            <w:tcW w:w="1462" w:type="dxa"/>
            <w:tcBorders>
              <w:left w:val="single" w:color="auto" w:sz="4" w:space="0"/>
            </w:tcBorders>
          </w:tcPr>
          <w:p>
            <w:pPr>
              <w:spacing w:beforeLines="50" w:afterLines="50"/>
              <w:jc w:val="left"/>
              <w:rPr>
                <w:rFonts w:asciiTheme="minorEastAsia" w:hAnsiTheme="minorEastAsia" w:eastAsiaTheme="minorEastAsia"/>
                <w:color w:val="auto"/>
                <w:szCs w:val="21"/>
                <w:lang w:val="en-GB"/>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cantSplit/>
          <w:trHeight w:val="354" w:hRule="atLeast"/>
        </w:trPr>
        <w:tc>
          <w:tcPr>
            <w:tcW w:w="659" w:type="dxa"/>
          </w:tcPr>
          <w:p>
            <w:pPr>
              <w:spacing w:beforeLines="50" w:afterLines="50"/>
              <w:jc w:val="left"/>
              <w:rPr>
                <w:rFonts w:asciiTheme="minorEastAsia" w:hAnsiTheme="minorEastAsia" w:eastAsiaTheme="minorEastAsia"/>
                <w:color w:val="auto"/>
                <w:szCs w:val="21"/>
                <w:lang w:val="en-GB"/>
              </w:rPr>
            </w:pPr>
          </w:p>
        </w:tc>
        <w:tc>
          <w:tcPr>
            <w:tcW w:w="1663" w:type="dxa"/>
          </w:tcPr>
          <w:p>
            <w:pPr>
              <w:spacing w:beforeLines="50" w:afterLines="50"/>
              <w:jc w:val="left"/>
              <w:rPr>
                <w:rFonts w:asciiTheme="minorEastAsia" w:hAnsiTheme="minorEastAsia" w:eastAsiaTheme="minorEastAsia"/>
                <w:color w:val="auto"/>
                <w:szCs w:val="21"/>
                <w:lang w:val="en-GB"/>
              </w:rPr>
            </w:pPr>
          </w:p>
        </w:tc>
        <w:tc>
          <w:tcPr>
            <w:tcW w:w="2064" w:type="dxa"/>
          </w:tcPr>
          <w:p>
            <w:pPr>
              <w:spacing w:beforeLines="50" w:afterLines="50"/>
              <w:jc w:val="left"/>
              <w:rPr>
                <w:rFonts w:asciiTheme="minorEastAsia" w:hAnsiTheme="minorEastAsia" w:eastAsiaTheme="minorEastAsia"/>
                <w:color w:val="auto"/>
                <w:szCs w:val="21"/>
                <w:lang w:val="en-GB"/>
              </w:rPr>
            </w:pPr>
          </w:p>
        </w:tc>
        <w:tc>
          <w:tcPr>
            <w:tcW w:w="2064" w:type="dxa"/>
          </w:tcPr>
          <w:p>
            <w:pPr>
              <w:spacing w:beforeLines="50" w:afterLines="50"/>
              <w:jc w:val="left"/>
              <w:rPr>
                <w:rFonts w:asciiTheme="minorEastAsia" w:hAnsiTheme="minorEastAsia" w:eastAsiaTheme="minorEastAsia"/>
                <w:color w:val="auto"/>
                <w:szCs w:val="21"/>
                <w:lang w:val="en-GB"/>
              </w:rPr>
            </w:pPr>
          </w:p>
        </w:tc>
        <w:tc>
          <w:tcPr>
            <w:tcW w:w="1060" w:type="dxa"/>
            <w:tcBorders>
              <w:right w:val="single" w:color="auto" w:sz="4" w:space="0"/>
            </w:tcBorders>
          </w:tcPr>
          <w:p>
            <w:pPr>
              <w:spacing w:beforeLines="50" w:afterLines="50"/>
              <w:jc w:val="left"/>
              <w:rPr>
                <w:rFonts w:asciiTheme="minorEastAsia" w:hAnsiTheme="minorEastAsia" w:eastAsiaTheme="minorEastAsia"/>
                <w:color w:val="auto"/>
                <w:szCs w:val="21"/>
                <w:lang w:val="en-GB"/>
              </w:rPr>
            </w:pPr>
          </w:p>
        </w:tc>
        <w:tc>
          <w:tcPr>
            <w:tcW w:w="1462" w:type="dxa"/>
            <w:tcBorders>
              <w:left w:val="single" w:color="auto" w:sz="4" w:space="0"/>
            </w:tcBorders>
          </w:tcPr>
          <w:p>
            <w:pPr>
              <w:spacing w:beforeLines="50" w:afterLines="50"/>
              <w:jc w:val="left"/>
              <w:rPr>
                <w:rFonts w:asciiTheme="minorEastAsia" w:hAnsiTheme="minorEastAsia" w:eastAsiaTheme="minorEastAsia"/>
                <w:color w:val="auto"/>
                <w:szCs w:val="21"/>
                <w:lang w:val="en-GB"/>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cantSplit/>
          <w:trHeight w:val="354" w:hRule="atLeast"/>
        </w:trPr>
        <w:tc>
          <w:tcPr>
            <w:tcW w:w="659" w:type="dxa"/>
          </w:tcPr>
          <w:p>
            <w:pPr>
              <w:spacing w:beforeLines="50" w:afterLines="50"/>
              <w:jc w:val="left"/>
              <w:rPr>
                <w:rFonts w:asciiTheme="minorEastAsia" w:hAnsiTheme="minorEastAsia" w:eastAsiaTheme="minorEastAsia"/>
                <w:color w:val="auto"/>
                <w:szCs w:val="21"/>
                <w:lang w:val="en-GB"/>
              </w:rPr>
            </w:pPr>
          </w:p>
        </w:tc>
        <w:tc>
          <w:tcPr>
            <w:tcW w:w="1663" w:type="dxa"/>
          </w:tcPr>
          <w:p>
            <w:pPr>
              <w:spacing w:beforeLines="50" w:afterLines="50"/>
              <w:jc w:val="left"/>
              <w:rPr>
                <w:rFonts w:asciiTheme="minorEastAsia" w:hAnsiTheme="minorEastAsia" w:eastAsiaTheme="minorEastAsia"/>
                <w:color w:val="auto"/>
                <w:szCs w:val="21"/>
                <w:lang w:val="en-GB"/>
              </w:rPr>
            </w:pPr>
          </w:p>
        </w:tc>
        <w:tc>
          <w:tcPr>
            <w:tcW w:w="2064" w:type="dxa"/>
          </w:tcPr>
          <w:p>
            <w:pPr>
              <w:spacing w:beforeLines="50" w:afterLines="50"/>
              <w:jc w:val="left"/>
              <w:rPr>
                <w:rFonts w:asciiTheme="minorEastAsia" w:hAnsiTheme="minorEastAsia" w:eastAsiaTheme="minorEastAsia"/>
                <w:color w:val="auto"/>
                <w:szCs w:val="21"/>
                <w:lang w:val="en-GB"/>
              </w:rPr>
            </w:pPr>
          </w:p>
        </w:tc>
        <w:tc>
          <w:tcPr>
            <w:tcW w:w="2064" w:type="dxa"/>
          </w:tcPr>
          <w:p>
            <w:pPr>
              <w:spacing w:beforeLines="50" w:afterLines="50"/>
              <w:jc w:val="left"/>
              <w:rPr>
                <w:rFonts w:asciiTheme="minorEastAsia" w:hAnsiTheme="minorEastAsia" w:eastAsiaTheme="minorEastAsia"/>
                <w:color w:val="auto"/>
                <w:szCs w:val="21"/>
                <w:lang w:val="en-GB"/>
              </w:rPr>
            </w:pPr>
          </w:p>
        </w:tc>
        <w:tc>
          <w:tcPr>
            <w:tcW w:w="1060" w:type="dxa"/>
            <w:tcBorders>
              <w:right w:val="single" w:color="auto" w:sz="4" w:space="0"/>
            </w:tcBorders>
          </w:tcPr>
          <w:p>
            <w:pPr>
              <w:spacing w:beforeLines="50" w:afterLines="50"/>
              <w:jc w:val="left"/>
              <w:rPr>
                <w:rFonts w:asciiTheme="minorEastAsia" w:hAnsiTheme="minorEastAsia" w:eastAsiaTheme="minorEastAsia"/>
                <w:color w:val="auto"/>
                <w:szCs w:val="21"/>
                <w:lang w:val="en-GB"/>
              </w:rPr>
            </w:pPr>
          </w:p>
        </w:tc>
        <w:tc>
          <w:tcPr>
            <w:tcW w:w="1462" w:type="dxa"/>
            <w:tcBorders>
              <w:left w:val="single" w:color="auto" w:sz="4" w:space="0"/>
            </w:tcBorders>
          </w:tcPr>
          <w:p>
            <w:pPr>
              <w:spacing w:beforeLines="50" w:afterLines="50"/>
              <w:jc w:val="left"/>
              <w:rPr>
                <w:rFonts w:asciiTheme="minorEastAsia" w:hAnsiTheme="minorEastAsia" w:eastAsiaTheme="minorEastAsia"/>
                <w:color w:val="auto"/>
                <w:szCs w:val="21"/>
                <w:lang w:val="en-GB"/>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cantSplit/>
          <w:trHeight w:val="354" w:hRule="atLeast"/>
        </w:trPr>
        <w:tc>
          <w:tcPr>
            <w:tcW w:w="659" w:type="dxa"/>
          </w:tcPr>
          <w:p>
            <w:pPr>
              <w:spacing w:beforeLines="50" w:afterLines="50"/>
              <w:jc w:val="left"/>
              <w:rPr>
                <w:rFonts w:asciiTheme="minorEastAsia" w:hAnsiTheme="minorEastAsia" w:eastAsiaTheme="minorEastAsia"/>
                <w:color w:val="auto"/>
                <w:szCs w:val="21"/>
                <w:lang w:val="en-GB"/>
              </w:rPr>
            </w:pPr>
          </w:p>
        </w:tc>
        <w:tc>
          <w:tcPr>
            <w:tcW w:w="1663" w:type="dxa"/>
          </w:tcPr>
          <w:p>
            <w:pPr>
              <w:spacing w:beforeLines="50" w:afterLines="50"/>
              <w:jc w:val="left"/>
              <w:rPr>
                <w:rFonts w:asciiTheme="minorEastAsia" w:hAnsiTheme="minorEastAsia" w:eastAsiaTheme="minorEastAsia"/>
                <w:color w:val="auto"/>
                <w:szCs w:val="21"/>
                <w:lang w:val="en-GB"/>
              </w:rPr>
            </w:pPr>
          </w:p>
        </w:tc>
        <w:tc>
          <w:tcPr>
            <w:tcW w:w="2064" w:type="dxa"/>
          </w:tcPr>
          <w:p>
            <w:pPr>
              <w:spacing w:beforeLines="50" w:afterLines="50"/>
              <w:jc w:val="left"/>
              <w:rPr>
                <w:rFonts w:asciiTheme="minorEastAsia" w:hAnsiTheme="minorEastAsia" w:eastAsiaTheme="minorEastAsia"/>
                <w:color w:val="auto"/>
                <w:szCs w:val="21"/>
                <w:lang w:val="en-GB"/>
              </w:rPr>
            </w:pPr>
          </w:p>
        </w:tc>
        <w:tc>
          <w:tcPr>
            <w:tcW w:w="2064" w:type="dxa"/>
          </w:tcPr>
          <w:p>
            <w:pPr>
              <w:spacing w:beforeLines="50" w:afterLines="50"/>
              <w:jc w:val="left"/>
              <w:rPr>
                <w:rFonts w:asciiTheme="minorEastAsia" w:hAnsiTheme="minorEastAsia" w:eastAsiaTheme="minorEastAsia"/>
                <w:color w:val="auto"/>
                <w:szCs w:val="21"/>
                <w:lang w:val="en-GB"/>
              </w:rPr>
            </w:pPr>
          </w:p>
        </w:tc>
        <w:tc>
          <w:tcPr>
            <w:tcW w:w="1060" w:type="dxa"/>
            <w:tcBorders>
              <w:right w:val="single" w:color="auto" w:sz="4" w:space="0"/>
            </w:tcBorders>
          </w:tcPr>
          <w:p>
            <w:pPr>
              <w:spacing w:beforeLines="50" w:afterLines="50"/>
              <w:jc w:val="left"/>
              <w:rPr>
                <w:rFonts w:asciiTheme="minorEastAsia" w:hAnsiTheme="minorEastAsia" w:eastAsiaTheme="minorEastAsia"/>
                <w:color w:val="auto"/>
                <w:szCs w:val="21"/>
                <w:lang w:val="en-GB"/>
              </w:rPr>
            </w:pPr>
          </w:p>
        </w:tc>
        <w:tc>
          <w:tcPr>
            <w:tcW w:w="1462" w:type="dxa"/>
            <w:tcBorders>
              <w:left w:val="single" w:color="auto" w:sz="4" w:space="0"/>
            </w:tcBorders>
          </w:tcPr>
          <w:p>
            <w:pPr>
              <w:spacing w:beforeLines="50" w:afterLines="50"/>
              <w:jc w:val="left"/>
              <w:rPr>
                <w:rFonts w:asciiTheme="minorEastAsia" w:hAnsiTheme="minorEastAsia" w:eastAsiaTheme="minorEastAsia"/>
                <w:color w:val="auto"/>
                <w:szCs w:val="21"/>
                <w:lang w:val="en-GB"/>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cantSplit/>
          <w:trHeight w:val="65" w:hRule="atLeast"/>
        </w:trPr>
        <w:tc>
          <w:tcPr>
            <w:tcW w:w="659" w:type="dxa"/>
          </w:tcPr>
          <w:p>
            <w:pPr>
              <w:spacing w:beforeLines="50" w:afterLines="50"/>
              <w:jc w:val="left"/>
              <w:rPr>
                <w:rFonts w:asciiTheme="minorEastAsia" w:hAnsiTheme="minorEastAsia" w:eastAsiaTheme="minorEastAsia"/>
                <w:color w:val="auto"/>
                <w:szCs w:val="21"/>
                <w:lang w:val="en-GB"/>
              </w:rPr>
            </w:pPr>
          </w:p>
        </w:tc>
        <w:tc>
          <w:tcPr>
            <w:tcW w:w="1663" w:type="dxa"/>
          </w:tcPr>
          <w:p>
            <w:pPr>
              <w:spacing w:beforeLines="50" w:afterLines="50"/>
              <w:jc w:val="left"/>
              <w:rPr>
                <w:rFonts w:asciiTheme="minorEastAsia" w:hAnsiTheme="minorEastAsia" w:eastAsiaTheme="minorEastAsia"/>
                <w:color w:val="auto"/>
                <w:szCs w:val="21"/>
                <w:lang w:val="en-GB"/>
              </w:rPr>
            </w:pPr>
          </w:p>
        </w:tc>
        <w:tc>
          <w:tcPr>
            <w:tcW w:w="2064" w:type="dxa"/>
          </w:tcPr>
          <w:p>
            <w:pPr>
              <w:spacing w:beforeLines="50" w:afterLines="50"/>
              <w:jc w:val="left"/>
              <w:rPr>
                <w:rFonts w:asciiTheme="minorEastAsia" w:hAnsiTheme="minorEastAsia" w:eastAsiaTheme="minorEastAsia"/>
                <w:color w:val="auto"/>
                <w:szCs w:val="21"/>
                <w:lang w:val="en-GB"/>
              </w:rPr>
            </w:pPr>
          </w:p>
        </w:tc>
        <w:tc>
          <w:tcPr>
            <w:tcW w:w="2064" w:type="dxa"/>
          </w:tcPr>
          <w:p>
            <w:pPr>
              <w:spacing w:beforeLines="50" w:afterLines="50"/>
              <w:jc w:val="left"/>
              <w:rPr>
                <w:rFonts w:asciiTheme="minorEastAsia" w:hAnsiTheme="minorEastAsia" w:eastAsiaTheme="minorEastAsia"/>
                <w:color w:val="auto"/>
                <w:szCs w:val="21"/>
                <w:lang w:val="en-GB"/>
              </w:rPr>
            </w:pPr>
          </w:p>
        </w:tc>
        <w:tc>
          <w:tcPr>
            <w:tcW w:w="1060" w:type="dxa"/>
            <w:tcBorders>
              <w:right w:val="single" w:color="auto" w:sz="4" w:space="0"/>
            </w:tcBorders>
          </w:tcPr>
          <w:p>
            <w:pPr>
              <w:spacing w:beforeLines="50" w:afterLines="50"/>
              <w:jc w:val="left"/>
              <w:rPr>
                <w:rFonts w:asciiTheme="minorEastAsia" w:hAnsiTheme="minorEastAsia" w:eastAsiaTheme="minorEastAsia"/>
                <w:color w:val="auto"/>
                <w:szCs w:val="21"/>
                <w:lang w:val="en-GB"/>
              </w:rPr>
            </w:pPr>
          </w:p>
        </w:tc>
        <w:tc>
          <w:tcPr>
            <w:tcW w:w="1462" w:type="dxa"/>
            <w:tcBorders>
              <w:left w:val="single" w:color="auto" w:sz="4" w:space="0"/>
            </w:tcBorders>
          </w:tcPr>
          <w:p>
            <w:pPr>
              <w:spacing w:beforeLines="50" w:afterLines="50"/>
              <w:jc w:val="left"/>
              <w:rPr>
                <w:rFonts w:asciiTheme="minorEastAsia" w:hAnsiTheme="minorEastAsia" w:eastAsiaTheme="minorEastAsia"/>
                <w:color w:val="auto"/>
                <w:szCs w:val="21"/>
                <w:lang w:val="en-GB"/>
              </w:rPr>
            </w:pPr>
          </w:p>
        </w:tc>
      </w:tr>
    </w:tbl>
    <w:p>
      <w:pPr>
        <w:rPr>
          <w:color w:val="auto"/>
        </w:rPr>
      </w:pPr>
    </w:p>
    <w:p>
      <w:pPr>
        <w:spacing w:line="400" w:lineRule="exact"/>
        <w:contextualSpacing/>
        <w:rPr>
          <w:rFonts w:hint="eastAsia" w:ascii="宋体" w:hAnsi="宋体"/>
          <w:color w:val="auto"/>
          <w:sz w:val="24"/>
        </w:rPr>
      </w:pPr>
    </w:p>
    <w:p>
      <w:pPr>
        <w:spacing w:line="400" w:lineRule="exact"/>
        <w:contextualSpacing/>
        <w:rPr>
          <w:rFonts w:hint="eastAsia" w:ascii="宋体" w:hAnsi="宋体"/>
          <w:color w:val="auto"/>
          <w:sz w:val="24"/>
        </w:rPr>
      </w:pPr>
    </w:p>
    <w:p>
      <w:pPr>
        <w:spacing w:line="400" w:lineRule="exact"/>
        <w:contextualSpacing/>
        <w:rPr>
          <w:rFonts w:hint="eastAsia" w:ascii="宋体" w:hAnsi="宋体"/>
          <w:color w:val="auto"/>
          <w:sz w:val="24"/>
        </w:rPr>
      </w:pPr>
    </w:p>
    <w:p>
      <w:pPr>
        <w:spacing w:line="400" w:lineRule="exact"/>
        <w:contextualSpacing/>
        <w:rPr>
          <w:rFonts w:ascii="宋体" w:hAnsi="宋体"/>
          <w:color w:val="auto"/>
          <w:sz w:val="24"/>
        </w:rPr>
      </w:pPr>
      <w:r>
        <w:rPr>
          <w:rFonts w:hint="eastAsia" w:ascii="宋体" w:hAnsi="宋体"/>
          <w:color w:val="auto"/>
          <w:sz w:val="24"/>
        </w:rPr>
        <w:t>投标人： （盖章）</w:t>
      </w:r>
    </w:p>
    <w:p>
      <w:pPr>
        <w:spacing w:line="400" w:lineRule="exact"/>
        <w:contextualSpacing/>
        <w:rPr>
          <w:rFonts w:ascii="宋体" w:hAnsi="宋体"/>
          <w:color w:val="auto"/>
          <w:sz w:val="24"/>
        </w:rPr>
      </w:pPr>
      <w:r>
        <w:rPr>
          <w:rFonts w:hint="eastAsia" w:ascii="宋体" w:hAnsi="宋体"/>
          <w:color w:val="auto"/>
          <w:sz w:val="24"/>
        </w:rPr>
        <w:t>法定代表人或委托代理人： （签字或盖章）</w:t>
      </w:r>
    </w:p>
    <w:p>
      <w:pPr>
        <w:spacing w:line="400" w:lineRule="exact"/>
        <w:contextualSpacing/>
        <w:rPr>
          <w:rFonts w:ascii="宋体" w:hAnsi="宋体"/>
          <w:color w:val="auto"/>
          <w:sz w:val="24"/>
        </w:rPr>
      </w:pPr>
      <w:r>
        <w:rPr>
          <w:rFonts w:hint="eastAsia" w:ascii="宋体" w:hAnsi="宋体"/>
          <w:color w:val="auto"/>
          <w:sz w:val="24"/>
        </w:rPr>
        <w:t>日期：    年    月    日</w:t>
      </w:r>
    </w:p>
    <w:p>
      <w:pPr>
        <w:pStyle w:val="50"/>
        <w:tabs>
          <w:tab w:val="clear" w:pos="360"/>
        </w:tabs>
        <w:spacing w:before="0" w:after="0" w:line="360" w:lineRule="auto"/>
        <w:ind w:firstLine="0"/>
        <w:outlineLvl w:val="9"/>
        <w:rPr>
          <w:rFonts w:ascii="宋体" w:hAnsi="宋体"/>
          <w:color w:val="auto"/>
        </w:rPr>
      </w:pPr>
    </w:p>
    <w:sectPr>
      <w:headerReference r:id="rId9" w:type="default"/>
      <w:pgSz w:w="11906" w:h="16838"/>
      <w:pgMar w:top="1440" w:right="1417" w:bottom="1440"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6750" w:hanging="6750" w:hangingChars="3750"/>
      <w:jc w:val="both"/>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D5X5J0AAAAAMBAAAPAAAAAAAAAAEAIAAAACIA&#10;AABkcnMvZG93bnJldi54bWxQSwECFAAUAAAACACHTuJAtfRHZ9gBAACjAwAADgAAAAAAAAABACAA&#10;AAAfAQAAZHJzL2Uyb0RvYy54bWxQSwUGAAAAAAYABgBZAQAAa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6750" w:hanging="6750" w:hangingChars="3750"/>
      <w:jc w:val="both"/>
      <w:rPr>
        <w:rFonts w:ascii="Arial" w:hAnsi="Arial" w:cs="Aria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22</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22</w:t>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p>
    <w:pPr>
      <w:pStyle w:val="14"/>
      <w:pBdr>
        <w:bottom w:val="single" w:color="auto" w:sz="4" w:space="1"/>
      </w:pBdr>
    </w:pPr>
    <w:r>
      <w:rPr>
        <w:rFonts w:hint="eastAsia"/>
        <w:lang w:val="en-US" w:eastAsia="zh-CN"/>
      </w:rPr>
      <w:t xml:space="preserve">  </w:t>
    </w:r>
    <w:r>
      <w:rPr>
        <w:rFonts w:hint="eastAsia"/>
      </w:rPr>
      <w:t>服务西</w:t>
    </w:r>
    <w:r>
      <w:rPr>
        <w:rFonts w:hint="eastAsia"/>
        <w:lang w:val="en-US" w:eastAsia="zh-CN"/>
      </w:rPr>
      <w:t>钢</w:t>
    </w:r>
    <w:r>
      <w:rPr>
        <w:rFonts w:hint="eastAsia"/>
      </w:rPr>
      <w:t>创造价值</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rPr>
      <w:drawing>
        <wp:inline distT="0" distB="0" distL="114300" distR="114300">
          <wp:extent cx="287655" cy="329565"/>
          <wp:effectExtent l="0" t="0" r="17145" b="1333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1"/>
                  <a:stretch>
                    <a:fillRect/>
                  </a:stretch>
                </pic:blipFill>
                <pic:spPr>
                  <a:xfrm>
                    <a:off x="0" y="0"/>
                    <a:ext cx="287655" cy="329565"/>
                  </a:xfrm>
                  <a:prstGeom prst="rect">
                    <a:avLst/>
                  </a:prstGeom>
                  <a:noFill/>
                  <a:ln w="9525">
                    <a:noFill/>
                  </a:ln>
                </pic:spPr>
              </pic:pic>
            </a:graphicData>
          </a:graphic>
        </wp:inline>
      </w:drawing>
    </w:r>
    <w:r>
      <w:rPr>
        <w:rFonts w:hint="eastAsia"/>
      </w:rPr>
      <w:t>青海宝矿工程咨询有限公司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pPr>
  </w:p>
  <w:p>
    <w:pPr>
      <w:pStyle w:val="14"/>
      <w:pBdr>
        <w:bottom w:val="single" w:color="auto" w:sz="4" w:space="1"/>
      </w:pBdr>
      <w:jc w:val="distribute"/>
    </w:pPr>
    <w:r>
      <w:rPr>
        <w:rFonts w:hint="eastAsia"/>
      </w:rPr>
      <w:t>服务西</w:t>
    </w:r>
    <w:r>
      <w:rPr>
        <w:rFonts w:hint="eastAsia"/>
        <w:lang w:val="en-US" w:eastAsia="zh-CN"/>
      </w:rPr>
      <w:t>钢</w:t>
    </w:r>
    <w:r>
      <w:rPr>
        <w:rFonts w:hint="eastAsia"/>
      </w:rPr>
      <w:t>创造价值</w:t>
    </w:r>
    <w:r>
      <w:rPr>
        <w:rFonts w:hint="eastAsia"/>
        <w:lang w:val="en-US" w:eastAsia="zh-CN"/>
      </w:rPr>
      <w:t xml:space="preserve">                                              </w:t>
    </w:r>
    <w:r>
      <w:rPr>
        <w:rFonts w:hint="eastAsia"/>
      </w:rPr>
      <w:drawing>
        <wp:inline distT="0" distB="0" distL="114300" distR="114300">
          <wp:extent cx="287655" cy="329565"/>
          <wp:effectExtent l="0" t="0" r="17145" b="1333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287655" cy="329565"/>
                  </a:xfrm>
                  <a:prstGeom prst="rect">
                    <a:avLst/>
                  </a:prstGeom>
                  <a:noFill/>
                  <a:ln w="9525">
                    <a:noFill/>
                  </a:ln>
                </pic:spPr>
              </pic:pic>
            </a:graphicData>
          </a:graphic>
        </wp:inline>
      </w:drawing>
    </w:r>
    <w:r>
      <w:rPr>
        <w:rFonts w:hint="eastAsia"/>
      </w:rPr>
      <w:t>青海宝矿工程咨询有限公司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distribute"/>
      <w:rPr>
        <w:u w:val="none"/>
      </w:rPr>
    </w:pPr>
    <w:r>
      <w:rPr>
        <w:rFonts w:hint="eastAsia"/>
        <w:u w:val="none"/>
      </w:rPr>
      <w:t>服务西</w:t>
    </w:r>
    <w:r>
      <w:rPr>
        <w:rFonts w:hint="eastAsia"/>
        <w:u w:val="none"/>
        <w:lang w:val="en-US" w:eastAsia="zh-CN"/>
      </w:rPr>
      <w:t>钢</w:t>
    </w:r>
    <w:r>
      <w:rPr>
        <w:rFonts w:hint="eastAsia"/>
        <w:u w:val="none"/>
      </w:rPr>
      <w:t>创造价值</w:t>
    </w:r>
    <w:r>
      <w:rPr>
        <w:rFonts w:hint="eastAsia"/>
        <w:u w:val="none"/>
        <w:lang w:val="en-US" w:eastAsia="zh-CN"/>
      </w:rPr>
      <w:t xml:space="preserve">                                              </w:t>
    </w:r>
    <w:r>
      <w:rPr>
        <w:rFonts w:hint="eastAsia"/>
        <w:u w:val="none"/>
      </w:rPr>
      <w:drawing>
        <wp:inline distT="0" distB="0" distL="114300" distR="114300">
          <wp:extent cx="287655" cy="329565"/>
          <wp:effectExtent l="0" t="0" r="17145" b="13335"/>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1"/>
                  <a:stretch>
                    <a:fillRect/>
                  </a:stretch>
                </pic:blipFill>
                <pic:spPr>
                  <a:xfrm>
                    <a:off x="0" y="0"/>
                    <a:ext cx="287655" cy="329565"/>
                  </a:xfrm>
                  <a:prstGeom prst="rect">
                    <a:avLst/>
                  </a:prstGeom>
                  <a:noFill/>
                  <a:ln w="9525">
                    <a:noFill/>
                  </a:ln>
                </pic:spPr>
              </pic:pic>
            </a:graphicData>
          </a:graphic>
        </wp:inline>
      </w:drawing>
    </w:r>
    <w:r>
      <w:rPr>
        <w:rFonts w:hint="eastAsia"/>
        <w:u w:val="none"/>
      </w:rPr>
      <w:t>青海宝矿工程咨询有限公司</w:t>
    </w:r>
  </w:p>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E128A"/>
    <w:multiLevelType w:val="singleLevel"/>
    <w:tmpl w:val="838E128A"/>
    <w:lvl w:ilvl="0" w:tentative="0">
      <w:start w:val="2"/>
      <w:numFmt w:val="decimal"/>
      <w:lvlText w:val="(%1)"/>
      <w:lvlJc w:val="left"/>
      <w:pPr>
        <w:tabs>
          <w:tab w:val="left" w:pos="312"/>
        </w:tabs>
      </w:pPr>
    </w:lvl>
  </w:abstractNum>
  <w:abstractNum w:abstractNumId="1">
    <w:nsid w:val="97232BE7"/>
    <w:multiLevelType w:val="singleLevel"/>
    <w:tmpl w:val="97232BE7"/>
    <w:lvl w:ilvl="0" w:tentative="0">
      <w:start w:val="2"/>
      <w:numFmt w:val="decimal"/>
      <w:suff w:val="nothing"/>
      <w:lvlText w:val="%1、"/>
      <w:lvlJc w:val="left"/>
    </w:lvl>
  </w:abstractNum>
  <w:abstractNum w:abstractNumId="2">
    <w:nsid w:val="5630A02C"/>
    <w:multiLevelType w:val="singleLevel"/>
    <w:tmpl w:val="5630A02C"/>
    <w:lvl w:ilvl="0" w:tentative="0">
      <w:start w:val="1"/>
      <w:numFmt w:val="decimal"/>
      <w:suff w:val="nothing"/>
      <w:lvlText w:val="%1、"/>
      <w:lvlJc w:val="left"/>
    </w:lvl>
  </w:abstractNum>
  <w:abstractNum w:abstractNumId="3">
    <w:nsid w:val="56318BB8"/>
    <w:multiLevelType w:val="singleLevel"/>
    <w:tmpl w:val="56318BB8"/>
    <w:lvl w:ilvl="0" w:tentative="0">
      <w:start w:val="1"/>
      <w:numFmt w:val="chineseCounting"/>
      <w:suff w:val="nothing"/>
      <w:lvlText w:val="%1、"/>
      <w:lvlJc w:val="left"/>
    </w:lvl>
  </w:abstractNum>
  <w:abstractNum w:abstractNumId="4">
    <w:nsid w:val="6D5D3198"/>
    <w:multiLevelType w:val="singleLevel"/>
    <w:tmpl w:val="6D5D3198"/>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7F7"/>
    <w:rsid w:val="000700E4"/>
    <w:rsid w:val="00074A4A"/>
    <w:rsid w:val="00092ED8"/>
    <w:rsid w:val="000C32F6"/>
    <w:rsid w:val="000D660D"/>
    <w:rsid w:val="000F7E78"/>
    <w:rsid w:val="001031A0"/>
    <w:rsid w:val="001151A9"/>
    <w:rsid w:val="001151FD"/>
    <w:rsid w:val="0013434A"/>
    <w:rsid w:val="00154BA8"/>
    <w:rsid w:val="0015566D"/>
    <w:rsid w:val="00156D75"/>
    <w:rsid w:val="00177946"/>
    <w:rsid w:val="001B1A1D"/>
    <w:rsid w:val="001D034E"/>
    <w:rsid w:val="001D3CC9"/>
    <w:rsid w:val="001D411A"/>
    <w:rsid w:val="001D52D3"/>
    <w:rsid w:val="00200927"/>
    <w:rsid w:val="002022DF"/>
    <w:rsid w:val="00203376"/>
    <w:rsid w:val="00227D40"/>
    <w:rsid w:val="00257D70"/>
    <w:rsid w:val="00260DBC"/>
    <w:rsid w:val="00282A19"/>
    <w:rsid w:val="00282D78"/>
    <w:rsid w:val="00287359"/>
    <w:rsid w:val="002A0A45"/>
    <w:rsid w:val="002C5C44"/>
    <w:rsid w:val="002D0050"/>
    <w:rsid w:val="002D083C"/>
    <w:rsid w:val="002D4049"/>
    <w:rsid w:val="002E7091"/>
    <w:rsid w:val="00303A93"/>
    <w:rsid w:val="00317B28"/>
    <w:rsid w:val="003214D9"/>
    <w:rsid w:val="00322157"/>
    <w:rsid w:val="00324023"/>
    <w:rsid w:val="003530FE"/>
    <w:rsid w:val="00370081"/>
    <w:rsid w:val="003A0BA4"/>
    <w:rsid w:val="003B1629"/>
    <w:rsid w:val="003C5216"/>
    <w:rsid w:val="003D0DD6"/>
    <w:rsid w:val="003D67F4"/>
    <w:rsid w:val="003E2F6D"/>
    <w:rsid w:val="003F0AB3"/>
    <w:rsid w:val="003F1695"/>
    <w:rsid w:val="0041750A"/>
    <w:rsid w:val="0044294C"/>
    <w:rsid w:val="00450621"/>
    <w:rsid w:val="004772B3"/>
    <w:rsid w:val="004C2601"/>
    <w:rsid w:val="004D05E9"/>
    <w:rsid w:val="0053133F"/>
    <w:rsid w:val="00531EC2"/>
    <w:rsid w:val="00534BD8"/>
    <w:rsid w:val="00542C81"/>
    <w:rsid w:val="00597C03"/>
    <w:rsid w:val="005B499C"/>
    <w:rsid w:val="005E1758"/>
    <w:rsid w:val="005E6821"/>
    <w:rsid w:val="0060239A"/>
    <w:rsid w:val="00606382"/>
    <w:rsid w:val="0061653B"/>
    <w:rsid w:val="00646FFC"/>
    <w:rsid w:val="006526DC"/>
    <w:rsid w:val="006531F7"/>
    <w:rsid w:val="00660ED4"/>
    <w:rsid w:val="00692B2C"/>
    <w:rsid w:val="006A4A3E"/>
    <w:rsid w:val="006B372C"/>
    <w:rsid w:val="006E192A"/>
    <w:rsid w:val="006F0866"/>
    <w:rsid w:val="006F0E20"/>
    <w:rsid w:val="00730F79"/>
    <w:rsid w:val="0074605C"/>
    <w:rsid w:val="00774584"/>
    <w:rsid w:val="007B1221"/>
    <w:rsid w:val="007D6DCB"/>
    <w:rsid w:val="007D77DB"/>
    <w:rsid w:val="007F03B0"/>
    <w:rsid w:val="007F23DB"/>
    <w:rsid w:val="007F681B"/>
    <w:rsid w:val="00816A2B"/>
    <w:rsid w:val="008700C8"/>
    <w:rsid w:val="008777B1"/>
    <w:rsid w:val="008946A2"/>
    <w:rsid w:val="008977B9"/>
    <w:rsid w:val="008A12DA"/>
    <w:rsid w:val="008A4563"/>
    <w:rsid w:val="008D343D"/>
    <w:rsid w:val="009313FB"/>
    <w:rsid w:val="00950F06"/>
    <w:rsid w:val="009864AC"/>
    <w:rsid w:val="00995B22"/>
    <w:rsid w:val="0099722A"/>
    <w:rsid w:val="00A00109"/>
    <w:rsid w:val="00A2389F"/>
    <w:rsid w:val="00A3539C"/>
    <w:rsid w:val="00A46820"/>
    <w:rsid w:val="00A55472"/>
    <w:rsid w:val="00A74AFF"/>
    <w:rsid w:val="00A832A2"/>
    <w:rsid w:val="00A9614B"/>
    <w:rsid w:val="00AA21C4"/>
    <w:rsid w:val="00AA77EC"/>
    <w:rsid w:val="00AB01DB"/>
    <w:rsid w:val="00B00270"/>
    <w:rsid w:val="00B03071"/>
    <w:rsid w:val="00B174B8"/>
    <w:rsid w:val="00B25588"/>
    <w:rsid w:val="00B30950"/>
    <w:rsid w:val="00B62775"/>
    <w:rsid w:val="00B654E8"/>
    <w:rsid w:val="00B67A2F"/>
    <w:rsid w:val="00B759AD"/>
    <w:rsid w:val="00BF6DA3"/>
    <w:rsid w:val="00C10D95"/>
    <w:rsid w:val="00C30909"/>
    <w:rsid w:val="00C313BE"/>
    <w:rsid w:val="00C42E63"/>
    <w:rsid w:val="00C4516C"/>
    <w:rsid w:val="00C563E4"/>
    <w:rsid w:val="00C979D6"/>
    <w:rsid w:val="00CA41FC"/>
    <w:rsid w:val="00CA7590"/>
    <w:rsid w:val="00CB2D9B"/>
    <w:rsid w:val="00CD095E"/>
    <w:rsid w:val="00CE0B69"/>
    <w:rsid w:val="00D67C94"/>
    <w:rsid w:val="00D71AF2"/>
    <w:rsid w:val="00D8178B"/>
    <w:rsid w:val="00D83CDF"/>
    <w:rsid w:val="00D87B3E"/>
    <w:rsid w:val="00DC100A"/>
    <w:rsid w:val="00DC175D"/>
    <w:rsid w:val="00DE19BD"/>
    <w:rsid w:val="00DE5E08"/>
    <w:rsid w:val="00DF3B77"/>
    <w:rsid w:val="00E158DF"/>
    <w:rsid w:val="00E3510E"/>
    <w:rsid w:val="00E36037"/>
    <w:rsid w:val="00E7749A"/>
    <w:rsid w:val="00E84AF1"/>
    <w:rsid w:val="00EA3376"/>
    <w:rsid w:val="00EA4CF2"/>
    <w:rsid w:val="00EB6E01"/>
    <w:rsid w:val="00EC062D"/>
    <w:rsid w:val="00EF44F0"/>
    <w:rsid w:val="00F23C3D"/>
    <w:rsid w:val="00F26F80"/>
    <w:rsid w:val="00F40255"/>
    <w:rsid w:val="00F52972"/>
    <w:rsid w:val="00F61E9D"/>
    <w:rsid w:val="00F62130"/>
    <w:rsid w:val="00F75652"/>
    <w:rsid w:val="00F97006"/>
    <w:rsid w:val="00FB7799"/>
    <w:rsid w:val="00FC13D1"/>
    <w:rsid w:val="00FC5B48"/>
    <w:rsid w:val="00FD535A"/>
    <w:rsid w:val="00FF4038"/>
    <w:rsid w:val="01067F64"/>
    <w:rsid w:val="010D4B5A"/>
    <w:rsid w:val="015C7602"/>
    <w:rsid w:val="01875DCF"/>
    <w:rsid w:val="01DB4ECE"/>
    <w:rsid w:val="01F30CAB"/>
    <w:rsid w:val="02253F0D"/>
    <w:rsid w:val="0228082D"/>
    <w:rsid w:val="0232396F"/>
    <w:rsid w:val="024B25A8"/>
    <w:rsid w:val="02556079"/>
    <w:rsid w:val="02A53EBF"/>
    <w:rsid w:val="02EC6E7F"/>
    <w:rsid w:val="02F171C6"/>
    <w:rsid w:val="0342494C"/>
    <w:rsid w:val="034C0F64"/>
    <w:rsid w:val="03710B0B"/>
    <w:rsid w:val="037B248D"/>
    <w:rsid w:val="03A418ED"/>
    <w:rsid w:val="03DD0316"/>
    <w:rsid w:val="04037055"/>
    <w:rsid w:val="044A3371"/>
    <w:rsid w:val="04A0483D"/>
    <w:rsid w:val="04D4628B"/>
    <w:rsid w:val="04D94D82"/>
    <w:rsid w:val="04EB7C05"/>
    <w:rsid w:val="050B7F63"/>
    <w:rsid w:val="05161EA6"/>
    <w:rsid w:val="05F55E4D"/>
    <w:rsid w:val="060A511F"/>
    <w:rsid w:val="0650361D"/>
    <w:rsid w:val="0657647C"/>
    <w:rsid w:val="06C74BE8"/>
    <w:rsid w:val="06F77232"/>
    <w:rsid w:val="07046A10"/>
    <w:rsid w:val="07047EA0"/>
    <w:rsid w:val="073928EA"/>
    <w:rsid w:val="077373BC"/>
    <w:rsid w:val="07B7755E"/>
    <w:rsid w:val="07C62D40"/>
    <w:rsid w:val="07F45701"/>
    <w:rsid w:val="07FE4F25"/>
    <w:rsid w:val="086B1A93"/>
    <w:rsid w:val="088B1387"/>
    <w:rsid w:val="08AC301B"/>
    <w:rsid w:val="08B543F6"/>
    <w:rsid w:val="08D2379C"/>
    <w:rsid w:val="08E419F5"/>
    <w:rsid w:val="09093DEF"/>
    <w:rsid w:val="0940084D"/>
    <w:rsid w:val="09585483"/>
    <w:rsid w:val="09DC5A1F"/>
    <w:rsid w:val="09DC7612"/>
    <w:rsid w:val="09F57CC7"/>
    <w:rsid w:val="0A014E6C"/>
    <w:rsid w:val="0A617768"/>
    <w:rsid w:val="0A8D0EA4"/>
    <w:rsid w:val="0A9D03F6"/>
    <w:rsid w:val="0AC6199B"/>
    <w:rsid w:val="0AF01BD4"/>
    <w:rsid w:val="0AFA0BBD"/>
    <w:rsid w:val="0B0D1BAA"/>
    <w:rsid w:val="0B580B29"/>
    <w:rsid w:val="0B8B1693"/>
    <w:rsid w:val="0B911333"/>
    <w:rsid w:val="0BAD5B1B"/>
    <w:rsid w:val="0BB30E17"/>
    <w:rsid w:val="0BB80C58"/>
    <w:rsid w:val="0BBF31B5"/>
    <w:rsid w:val="0C40499B"/>
    <w:rsid w:val="0C4F0D0E"/>
    <w:rsid w:val="0C5434C0"/>
    <w:rsid w:val="0C5A2235"/>
    <w:rsid w:val="0C945E53"/>
    <w:rsid w:val="0CB37E96"/>
    <w:rsid w:val="0CB46AD2"/>
    <w:rsid w:val="0CF54548"/>
    <w:rsid w:val="0D1D4F92"/>
    <w:rsid w:val="0D6B062F"/>
    <w:rsid w:val="0D6B6306"/>
    <w:rsid w:val="0D8A0F10"/>
    <w:rsid w:val="0DA96690"/>
    <w:rsid w:val="0DAC0576"/>
    <w:rsid w:val="0DC01883"/>
    <w:rsid w:val="0DDC4271"/>
    <w:rsid w:val="0DEA29E0"/>
    <w:rsid w:val="0E2E53D6"/>
    <w:rsid w:val="0E593998"/>
    <w:rsid w:val="0E6579C3"/>
    <w:rsid w:val="0E7B6B85"/>
    <w:rsid w:val="0E7D50E0"/>
    <w:rsid w:val="0E9826D5"/>
    <w:rsid w:val="0EA608E1"/>
    <w:rsid w:val="0EA7514D"/>
    <w:rsid w:val="0EC4239D"/>
    <w:rsid w:val="0F001FC6"/>
    <w:rsid w:val="0FAD538A"/>
    <w:rsid w:val="0FC75A7E"/>
    <w:rsid w:val="100463DA"/>
    <w:rsid w:val="10393F84"/>
    <w:rsid w:val="10981B51"/>
    <w:rsid w:val="10DA3734"/>
    <w:rsid w:val="10F538C2"/>
    <w:rsid w:val="11151E7A"/>
    <w:rsid w:val="111E69D7"/>
    <w:rsid w:val="11672E09"/>
    <w:rsid w:val="11C07C4A"/>
    <w:rsid w:val="11C87977"/>
    <w:rsid w:val="11CC71C4"/>
    <w:rsid w:val="121E56ED"/>
    <w:rsid w:val="122B2CED"/>
    <w:rsid w:val="12324FEA"/>
    <w:rsid w:val="127E40EC"/>
    <w:rsid w:val="128C567E"/>
    <w:rsid w:val="12964E0C"/>
    <w:rsid w:val="12D56B2A"/>
    <w:rsid w:val="13363DEA"/>
    <w:rsid w:val="13482F19"/>
    <w:rsid w:val="136A1FC3"/>
    <w:rsid w:val="13795C1A"/>
    <w:rsid w:val="13AA08D3"/>
    <w:rsid w:val="13F7534D"/>
    <w:rsid w:val="145778C0"/>
    <w:rsid w:val="1502113D"/>
    <w:rsid w:val="1509271F"/>
    <w:rsid w:val="15304D22"/>
    <w:rsid w:val="154E6181"/>
    <w:rsid w:val="1560492F"/>
    <w:rsid w:val="15927892"/>
    <w:rsid w:val="15BE6534"/>
    <w:rsid w:val="15C501A4"/>
    <w:rsid w:val="15C6258C"/>
    <w:rsid w:val="15CC5FC3"/>
    <w:rsid w:val="15D456D8"/>
    <w:rsid w:val="15F5072F"/>
    <w:rsid w:val="162728BD"/>
    <w:rsid w:val="16446193"/>
    <w:rsid w:val="165452D5"/>
    <w:rsid w:val="168D6990"/>
    <w:rsid w:val="169D1953"/>
    <w:rsid w:val="16A80915"/>
    <w:rsid w:val="16C33851"/>
    <w:rsid w:val="16D735E1"/>
    <w:rsid w:val="171E49E9"/>
    <w:rsid w:val="178D163C"/>
    <w:rsid w:val="179019FC"/>
    <w:rsid w:val="17C333F5"/>
    <w:rsid w:val="18132A68"/>
    <w:rsid w:val="181B39F2"/>
    <w:rsid w:val="182840C3"/>
    <w:rsid w:val="1834684A"/>
    <w:rsid w:val="183F2D7F"/>
    <w:rsid w:val="184313F8"/>
    <w:rsid w:val="18860D5F"/>
    <w:rsid w:val="18BA6858"/>
    <w:rsid w:val="18BB3232"/>
    <w:rsid w:val="18C16724"/>
    <w:rsid w:val="18E97051"/>
    <w:rsid w:val="18FE15E2"/>
    <w:rsid w:val="1917046D"/>
    <w:rsid w:val="192E7FF2"/>
    <w:rsid w:val="19494BDC"/>
    <w:rsid w:val="1972616D"/>
    <w:rsid w:val="197D1770"/>
    <w:rsid w:val="19AA32D0"/>
    <w:rsid w:val="19C507CF"/>
    <w:rsid w:val="19DC7403"/>
    <w:rsid w:val="19DE2FD0"/>
    <w:rsid w:val="19F33E7E"/>
    <w:rsid w:val="1A16553A"/>
    <w:rsid w:val="1A3B26D4"/>
    <w:rsid w:val="1A3D7005"/>
    <w:rsid w:val="1A4D4BE8"/>
    <w:rsid w:val="1A5F0876"/>
    <w:rsid w:val="1A6E17E1"/>
    <w:rsid w:val="1A79255C"/>
    <w:rsid w:val="1AA64764"/>
    <w:rsid w:val="1AA67DA3"/>
    <w:rsid w:val="1B493C3C"/>
    <w:rsid w:val="1B581F69"/>
    <w:rsid w:val="1B6163BD"/>
    <w:rsid w:val="1B885711"/>
    <w:rsid w:val="1BFA75EB"/>
    <w:rsid w:val="1BFC5A7F"/>
    <w:rsid w:val="1C044899"/>
    <w:rsid w:val="1C3900C6"/>
    <w:rsid w:val="1C6E7A6A"/>
    <w:rsid w:val="1C867E02"/>
    <w:rsid w:val="1CA24E6D"/>
    <w:rsid w:val="1CB33745"/>
    <w:rsid w:val="1CC235DA"/>
    <w:rsid w:val="1CDE44AF"/>
    <w:rsid w:val="1CE36364"/>
    <w:rsid w:val="1D7D309C"/>
    <w:rsid w:val="1D977FB1"/>
    <w:rsid w:val="1DC00828"/>
    <w:rsid w:val="1DDE5E13"/>
    <w:rsid w:val="1DF31DB1"/>
    <w:rsid w:val="1DFC218D"/>
    <w:rsid w:val="1E040A15"/>
    <w:rsid w:val="1E6B2207"/>
    <w:rsid w:val="1EAF2E1A"/>
    <w:rsid w:val="1EC7472F"/>
    <w:rsid w:val="1EE3391D"/>
    <w:rsid w:val="1EE72D71"/>
    <w:rsid w:val="1EF83614"/>
    <w:rsid w:val="1F306030"/>
    <w:rsid w:val="1F364DBB"/>
    <w:rsid w:val="1F811BD0"/>
    <w:rsid w:val="1F9A4036"/>
    <w:rsid w:val="1FC21BE6"/>
    <w:rsid w:val="1FC6532D"/>
    <w:rsid w:val="1FD42E6F"/>
    <w:rsid w:val="1FDB1D41"/>
    <w:rsid w:val="20194303"/>
    <w:rsid w:val="201E2EA4"/>
    <w:rsid w:val="20382474"/>
    <w:rsid w:val="204304C3"/>
    <w:rsid w:val="20447E04"/>
    <w:rsid w:val="20584826"/>
    <w:rsid w:val="20706FA5"/>
    <w:rsid w:val="20C76C80"/>
    <w:rsid w:val="20DF5056"/>
    <w:rsid w:val="210F5AAF"/>
    <w:rsid w:val="214A796D"/>
    <w:rsid w:val="21616C02"/>
    <w:rsid w:val="218C3F6E"/>
    <w:rsid w:val="21973621"/>
    <w:rsid w:val="21B905CA"/>
    <w:rsid w:val="21F42E9C"/>
    <w:rsid w:val="21F854FD"/>
    <w:rsid w:val="22220668"/>
    <w:rsid w:val="2224216D"/>
    <w:rsid w:val="22434D05"/>
    <w:rsid w:val="224B1552"/>
    <w:rsid w:val="225136C9"/>
    <w:rsid w:val="22AA2455"/>
    <w:rsid w:val="22E47E20"/>
    <w:rsid w:val="22F67E63"/>
    <w:rsid w:val="22FD7C56"/>
    <w:rsid w:val="230F0144"/>
    <w:rsid w:val="23255F44"/>
    <w:rsid w:val="234F6FF4"/>
    <w:rsid w:val="23511BC2"/>
    <w:rsid w:val="235A6CA5"/>
    <w:rsid w:val="237E3CF6"/>
    <w:rsid w:val="239363D0"/>
    <w:rsid w:val="239842B5"/>
    <w:rsid w:val="23A11117"/>
    <w:rsid w:val="23B208FC"/>
    <w:rsid w:val="23B4721F"/>
    <w:rsid w:val="23B81840"/>
    <w:rsid w:val="23BB583F"/>
    <w:rsid w:val="23C90C1A"/>
    <w:rsid w:val="23D9761F"/>
    <w:rsid w:val="246736F0"/>
    <w:rsid w:val="24D05039"/>
    <w:rsid w:val="24F40DE2"/>
    <w:rsid w:val="25256B18"/>
    <w:rsid w:val="256015B7"/>
    <w:rsid w:val="257726C7"/>
    <w:rsid w:val="25805B6E"/>
    <w:rsid w:val="25BE00B5"/>
    <w:rsid w:val="261115D7"/>
    <w:rsid w:val="261A714C"/>
    <w:rsid w:val="26280182"/>
    <w:rsid w:val="26433590"/>
    <w:rsid w:val="265F4826"/>
    <w:rsid w:val="26650240"/>
    <w:rsid w:val="26F56B47"/>
    <w:rsid w:val="2715363C"/>
    <w:rsid w:val="276B6158"/>
    <w:rsid w:val="27715F66"/>
    <w:rsid w:val="27865510"/>
    <w:rsid w:val="2791217C"/>
    <w:rsid w:val="27991A35"/>
    <w:rsid w:val="27C634CD"/>
    <w:rsid w:val="27F152E3"/>
    <w:rsid w:val="28045690"/>
    <w:rsid w:val="28264770"/>
    <w:rsid w:val="28342F12"/>
    <w:rsid w:val="285A36F9"/>
    <w:rsid w:val="287A5184"/>
    <w:rsid w:val="28A06BB2"/>
    <w:rsid w:val="28AB1690"/>
    <w:rsid w:val="28CA33C0"/>
    <w:rsid w:val="2910736B"/>
    <w:rsid w:val="291D442F"/>
    <w:rsid w:val="297D127B"/>
    <w:rsid w:val="297D4F34"/>
    <w:rsid w:val="298A1EB4"/>
    <w:rsid w:val="29903ED5"/>
    <w:rsid w:val="29925F82"/>
    <w:rsid w:val="29CF1674"/>
    <w:rsid w:val="29D1612B"/>
    <w:rsid w:val="29D8741D"/>
    <w:rsid w:val="2A0B7193"/>
    <w:rsid w:val="2A0C50F7"/>
    <w:rsid w:val="2A246B67"/>
    <w:rsid w:val="2AA06A08"/>
    <w:rsid w:val="2AD76821"/>
    <w:rsid w:val="2AEC5380"/>
    <w:rsid w:val="2B0F16AF"/>
    <w:rsid w:val="2B1179D1"/>
    <w:rsid w:val="2B2965A1"/>
    <w:rsid w:val="2B3F36D7"/>
    <w:rsid w:val="2B8F38DC"/>
    <w:rsid w:val="2B992F16"/>
    <w:rsid w:val="2BFC3397"/>
    <w:rsid w:val="2C0E71CF"/>
    <w:rsid w:val="2C1A4304"/>
    <w:rsid w:val="2D420987"/>
    <w:rsid w:val="2D656A23"/>
    <w:rsid w:val="2D6B1B0F"/>
    <w:rsid w:val="2D8A5E70"/>
    <w:rsid w:val="2DA76275"/>
    <w:rsid w:val="2DAB31F2"/>
    <w:rsid w:val="2DE92BD1"/>
    <w:rsid w:val="2EA8579F"/>
    <w:rsid w:val="2EB24F7A"/>
    <w:rsid w:val="2F6E5F6B"/>
    <w:rsid w:val="2F94568D"/>
    <w:rsid w:val="2F9637CA"/>
    <w:rsid w:val="2FA20211"/>
    <w:rsid w:val="2FF85171"/>
    <w:rsid w:val="30122A30"/>
    <w:rsid w:val="309905E6"/>
    <w:rsid w:val="30AB1BB9"/>
    <w:rsid w:val="30BC53F0"/>
    <w:rsid w:val="31557FD5"/>
    <w:rsid w:val="31821629"/>
    <w:rsid w:val="31A648C2"/>
    <w:rsid w:val="31B02B14"/>
    <w:rsid w:val="32286104"/>
    <w:rsid w:val="322A6E79"/>
    <w:rsid w:val="32313ED2"/>
    <w:rsid w:val="32530582"/>
    <w:rsid w:val="32783D26"/>
    <w:rsid w:val="327D69E4"/>
    <w:rsid w:val="32A80171"/>
    <w:rsid w:val="32E17938"/>
    <w:rsid w:val="33A203AC"/>
    <w:rsid w:val="33A73874"/>
    <w:rsid w:val="33AA1A63"/>
    <w:rsid w:val="34036F2D"/>
    <w:rsid w:val="3406076E"/>
    <w:rsid w:val="342318DC"/>
    <w:rsid w:val="342A063E"/>
    <w:rsid w:val="344108AD"/>
    <w:rsid w:val="34497F00"/>
    <w:rsid w:val="347B2C23"/>
    <w:rsid w:val="34887D3E"/>
    <w:rsid w:val="349F7E92"/>
    <w:rsid w:val="34A2644A"/>
    <w:rsid w:val="34AF7BFE"/>
    <w:rsid w:val="34C2329A"/>
    <w:rsid w:val="3508513C"/>
    <w:rsid w:val="35492E66"/>
    <w:rsid w:val="355409C4"/>
    <w:rsid w:val="35782852"/>
    <w:rsid w:val="35A60D6D"/>
    <w:rsid w:val="35FD00A2"/>
    <w:rsid w:val="36AA28CD"/>
    <w:rsid w:val="36E556F9"/>
    <w:rsid w:val="374D0931"/>
    <w:rsid w:val="376941B3"/>
    <w:rsid w:val="377F130C"/>
    <w:rsid w:val="378E0DD1"/>
    <w:rsid w:val="379F5F39"/>
    <w:rsid w:val="37D77A33"/>
    <w:rsid w:val="37F812EC"/>
    <w:rsid w:val="385A09B2"/>
    <w:rsid w:val="38680A1C"/>
    <w:rsid w:val="386E1940"/>
    <w:rsid w:val="38784167"/>
    <w:rsid w:val="39237425"/>
    <w:rsid w:val="39273DDF"/>
    <w:rsid w:val="39343DC7"/>
    <w:rsid w:val="397C49B8"/>
    <w:rsid w:val="399E1910"/>
    <w:rsid w:val="39B35537"/>
    <w:rsid w:val="39BF17D0"/>
    <w:rsid w:val="39F97A68"/>
    <w:rsid w:val="3A55048D"/>
    <w:rsid w:val="3A565154"/>
    <w:rsid w:val="3A6104D5"/>
    <w:rsid w:val="3A703567"/>
    <w:rsid w:val="3A8403EF"/>
    <w:rsid w:val="3A8951D2"/>
    <w:rsid w:val="3A895CBA"/>
    <w:rsid w:val="3A944C96"/>
    <w:rsid w:val="3A982C09"/>
    <w:rsid w:val="3AA222E5"/>
    <w:rsid w:val="3AD42F0A"/>
    <w:rsid w:val="3B0058BA"/>
    <w:rsid w:val="3BAF6EC7"/>
    <w:rsid w:val="3BDA45F9"/>
    <w:rsid w:val="3C4B2EC2"/>
    <w:rsid w:val="3C4D4FC9"/>
    <w:rsid w:val="3C5E67E3"/>
    <w:rsid w:val="3C7D5AC6"/>
    <w:rsid w:val="3CAE75CD"/>
    <w:rsid w:val="3CED5C61"/>
    <w:rsid w:val="3CFB4CA4"/>
    <w:rsid w:val="3CFD2672"/>
    <w:rsid w:val="3D24686C"/>
    <w:rsid w:val="3D6C20D9"/>
    <w:rsid w:val="3DDE2E75"/>
    <w:rsid w:val="3E273AEC"/>
    <w:rsid w:val="3E2F421B"/>
    <w:rsid w:val="3E3031FD"/>
    <w:rsid w:val="3E512496"/>
    <w:rsid w:val="3E69695C"/>
    <w:rsid w:val="3E7C27A9"/>
    <w:rsid w:val="3E7F0B95"/>
    <w:rsid w:val="3E8F74F7"/>
    <w:rsid w:val="3ED225E8"/>
    <w:rsid w:val="3EEF32B7"/>
    <w:rsid w:val="3F2A5DD4"/>
    <w:rsid w:val="3F751249"/>
    <w:rsid w:val="3FA8630F"/>
    <w:rsid w:val="3FAE4EC5"/>
    <w:rsid w:val="3FC25E4F"/>
    <w:rsid w:val="3FFE50EE"/>
    <w:rsid w:val="401D3C5B"/>
    <w:rsid w:val="40215105"/>
    <w:rsid w:val="40370D83"/>
    <w:rsid w:val="408F0375"/>
    <w:rsid w:val="40A824A3"/>
    <w:rsid w:val="40E04C19"/>
    <w:rsid w:val="410E522C"/>
    <w:rsid w:val="41103A08"/>
    <w:rsid w:val="41393727"/>
    <w:rsid w:val="41B16E35"/>
    <w:rsid w:val="41C610A5"/>
    <w:rsid w:val="41DF528E"/>
    <w:rsid w:val="420C511D"/>
    <w:rsid w:val="42147D60"/>
    <w:rsid w:val="42181C80"/>
    <w:rsid w:val="42540D90"/>
    <w:rsid w:val="425F7B90"/>
    <w:rsid w:val="426512CE"/>
    <w:rsid w:val="428A4C63"/>
    <w:rsid w:val="42C90A18"/>
    <w:rsid w:val="43337401"/>
    <w:rsid w:val="43785FE8"/>
    <w:rsid w:val="439C398F"/>
    <w:rsid w:val="43AE4133"/>
    <w:rsid w:val="43CF10F7"/>
    <w:rsid w:val="441A015B"/>
    <w:rsid w:val="443E2415"/>
    <w:rsid w:val="446A7196"/>
    <w:rsid w:val="44727413"/>
    <w:rsid w:val="44A80051"/>
    <w:rsid w:val="44C43F16"/>
    <w:rsid w:val="44E55C94"/>
    <w:rsid w:val="456B276F"/>
    <w:rsid w:val="45B46711"/>
    <w:rsid w:val="45B92948"/>
    <w:rsid w:val="45D00F4F"/>
    <w:rsid w:val="45E40A54"/>
    <w:rsid w:val="462B442B"/>
    <w:rsid w:val="46B714B2"/>
    <w:rsid w:val="46C34364"/>
    <w:rsid w:val="46E66D16"/>
    <w:rsid w:val="47200679"/>
    <w:rsid w:val="47296E83"/>
    <w:rsid w:val="475675DC"/>
    <w:rsid w:val="47714A83"/>
    <w:rsid w:val="47827144"/>
    <w:rsid w:val="47ED3670"/>
    <w:rsid w:val="48001A67"/>
    <w:rsid w:val="480A1DB3"/>
    <w:rsid w:val="4844004A"/>
    <w:rsid w:val="48621CFC"/>
    <w:rsid w:val="487B16FC"/>
    <w:rsid w:val="48C0506B"/>
    <w:rsid w:val="48DC2B45"/>
    <w:rsid w:val="48FD384B"/>
    <w:rsid w:val="493C6F53"/>
    <w:rsid w:val="49C60D7F"/>
    <w:rsid w:val="49E141AD"/>
    <w:rsid w:val="49FA1CF9"/>
    <w:rsid w:val="4A8877A6"/>
    <w:rsid w:val="4A8D3698"/>
    <w:rsid w:val="4B011099"/>
    <w:rsid w:val="4B02391F"/>
    <w:rsid w:val="4B171F80"/>
    <w:rsid w:val="4B3A2D9F"/>
    <w:rsid w:val="4B423BF6"/>
    <w:rsid w:val="4B530A38"/>
    <w:rsid w:val="4B607985"/>
    <w:rsid w:val="4B7A12B8"/>
    <w:rsid w:val="4B816870"/>
    <w:rsid w:val="4BB50F5A"/>
    <w:rsid w:val="4BBF4882"/>
    <w:rsid w:val="4BC50BA5"/>
    <w:rsid w:val="4BF90E61"/>
    <w:rsid w:val="4C1E2170"/>
    <w:rsid w:val="4C1F2869"/>
    <w:rsid w:val="4C3454B1"/>
    <w:rsid w:val="4CB915A6"/>
    <w:rsid w:val="4CE731AE"/>
    <w:rsid w:val="4CED654F"/>
    <w:rsid w:val="4CF848FE"/>
    <w:rsid w:val="4D0F7865"/>
    <w:rsid w:val="4D8B108D"/>
    <w:rsid w:val="4D9842F1"/>
    <w:rsid w:val="4DE66402"/>
    <w:rsid w:val="4DEA4CC7"/>
    <w:rsid w:val="4E2B3AEC"/>
    <w:rsid w:val="4E581A82"/>
    <w:rsid w:val="4EC2654B"/>
    <w:rsid w:val="4EE96597"/>
    <w:rsid w:val="4F0D52BA"/>
    <w:rsid w:val="4F28117F"/>
    <w:rsid w:val="4F8D21FF"/>
    <w:rsid w:val="4F985ECC"/>
    <w:rsid w:val="4FF80F8B"/>
    <w:rsid w:val="501D266A"/>
    <w:rsid w:val="5080346A"/>
    <w:rsid w:val="508F6D0B"/>
    <w:rsid w:val="50B123E5"/>
    <w:rsid w:val="50C84BF1"/>
    <w:rsid w:val="50E2122E"/>
    <w:rsid w:val="5106477E"/>
    <w:rsid w:val="51720710"/>
    <w:rsid w:val="51750C06"/>
    <w:rsid w:val="52013EBA"/>
    <w:rsid w:val="520E4A84"/>
    <w:rsid w:val="52222241"/>
    <w:rsid w:val="52291889"/>
    <w:rsid w:val="522F215A"/>
    <w:rsid w:val="52880A80"/>
    <w:rsid w:val="52880F4C"/>
    <w:rsid w:val="52903D8B"/>
    <w:rsid w:val="52C905BD"/>
    <w:rsid w:val="532342F2"/>
    <w:rsid w:val="53321399"/>
    <w:rsid w:val="53A4748F"/>
    <w:rsid w:val="53A867CA"/>
    <w:rsid w:val="53E61B95"/>
    <w:rsid w:val="53FF6F54"/>
    <w:rsid w:val="5417753B"/>
    <w:rsid w:val="548D52B3"/>
    <w:rsid w:val="5497769A"/>
    <w:rsid w:val="54A75983"/>
    <w:rsid w:val="54AF13C5"/>
    <w:rsid w:val="54B82A8B"/>
    <w:rsid w:val="55272166"/>
    <w:rsid w:val="555C4233"/>
    <w:rsid w:val="556329CD"/>
    <w:rsid w:val="55674F4F"/>
    <w:rsid w:val="557B11DE"/>
    <w:rsid w:val="55896976"/>
    <w:rsid w:val="558F5BED"/>
    <w:rsid w:val="55FF0D1D"/>
    <w:rsid w:val="565B3B95"/>
    <w:rsid w:val="5669660F"/>
    <w:rsid w:val="56804EE7"/>
    <w:rsid w:val="56BE671D"/>
    <w:rsid w:val="5740371B"/>
    <w:rsid w:val="57574870"/>
    <w:rsid w:val="5763178C"/>
    <w:rsid w:val="578F1CEA"/>
    <w:rsid w:val="582E2161"/>
    <w:rsid w:val="583E5FC6"/>
    <w:rsid w:val="583F484C"/>
    <w:rsid w:val="587550CB"/>
    <w:rsid w:val="587A37B8"/>
    <w:rsid w:val="58865106"/>
    <w:rsid w:val="58D439B3"/>
    <w:rsid w:val="59711E32"/>
    <w:rsid w:val="59A33A50"/>
    <w:rsid w:val="59C032EF"/>
    <w:rsid w:val="59FD15AD"/>
    <w:rsid w:val="5A266044"/>
    <w:rsid w:val="5A59149C"/>
    <w:rsid w:val="5A757186"/>
    <w:rsid w:val="5ACF4CE9"/>
    <w:rsid w:val="5ADA5074"/>
    <w:rsid w:val="5AFA717E"/>
    <w:rsid w:val="5B536C52"/>
    <w:rsid w:val="5B703751"/>
    <w:rsid w:val="5BFE02C5"/>
    <w:rsid w:val="5C0812CE"/>
    <w:rsid w:val="5C2433B7"/>
    <w:rsid w:val="5C4D4DAF"/>
    <w:rsid w:val="5C8A5CDA"/>
    <w:rsid w:val="5C9C2A25"/>
    <w:rsid w:val="5CE14E26"/>
    <w:rsid w:val="5CE14F42"/>
    <w:rsid w:val="5D0C0BA2"/>
    <w:rsid w:val="5D0C42B6"/>
    <w:rsid w:val="5D187990"/>
    <w:rsid w:val="5D353ACD"/>
    <w:rsid w:val="5D732D98"/>
    <w:rsid w:val="5DD42947"/>
    <w:rsid w:val="5DF0742B"/>
    <w:rsid w:val="5DF83212"/>
    <w:rsid w:val="5E0F5373"/>
    <w:rsid w:val="5E5D790A"/>
    <w:rsid w:val="5E7A061C"/>
    <w:rsid w:val="5E94382A"/>
    <w:rsid w:val="5EA83E54"/>
    <w:rsid w:val="5EC85EBD"/>
    <w:rsid w:val="5ECF671B"/>
    <w:rsid w:val="5F69566E"/>
    <w:rsid w:val="5F9A215B"/>
    <w:rsid w:val="5F9D0F5D"/>
    <w:rsid w:val="5FFD5CDE"/>
    <w:rsid w:val="601502F8"/>
    <w:rsid w:val="604F5912"/>
    <w:rsid w:val="60B12CF2"/>
    <w:rsid w:val="60CD503B"/>
    <w:rsid w:val="60D74F66"/>
    <w:rsid w:val="611D06FB"/>
    <w:rsid w:val="61344D82"/>
    <w:rsid w:val="61394064"/>
    <w:rsid w:val="615C0ED6"/>
    <w:rsid w:val="61C22488"/>
    <w:rsid w:val="62020871"/>
    <w:rsid w:val="621C4FD6"/>
    <w:rsid w:val="627017A8"/>
    <w:rsid w:val="6294081B"/>
    <w:rsid w:val="62A62659"/>
    <w:rsid w:val="62C22E81"/>
    <w:rsid w:val="63086DF9"/>
    <w:rsid w:val="630B7191"/>
    <w:rsid w:val="63356B55"/>
    <w:rsid w:val="63477C8E"/>
    <w:rsid w:val="63486633"/>
    <w:rsid w:val="635A18DC"/>
    <w:rsid w:val="63794E6B"/>
    <w:rsid w:val="63FF46C4"/>
    <w:rsid w:val="64151A9A"/>
    <w:rsid w:val="64565DFF"/>
    <w:rsid w:val="64714F13"/>
    <w:rsid w:val="64C23264"/>
    <w:rsid w:val="64D5078D"/>
    <w:rsid w:val="64D975CC"/>
    <w:rsid w:val="64F50EDC"/>
    <w:rsid w:val="64F94BE6"/>
    <w:rsid w:val="65197B58"/>
    <w:rsid w:val="652B2478"/>
    <w:rsid w:val="657C0D13"/>
    <w:rsid w:val="65A65013"/>
    <w:rsid w:val="66041516"/>
    <w:rsid w:val="66236C34"/>
    <w:rsid w:val="66327C4C"/>
    <w:rsid w:val="66934F9E"/>
    <w:rsid w:val="67491378"/>
    <w:rsid w:val="6760162A"/>
    <w:rsid w:val="67745A7E"/>
    <w:rsid w:val="67C92763"/>
    <w:rsid w:val="67EE5DE4"/>
    <w:rsid w:val="68010BA8"/>
    <w:rsid w:val="68040F9C"/>
    <w:rsid w:val="68590F3D"/>
    <w:rsid w:val="6869652C"/>
    <w:rsid w:val="68934F63"/>
    <w:rsid w:val="6895471D"/>
    <w:rsid w:val="68B03327"/>
    <w:rsid w:val="68F83AB2"/>
    <w:rsid w:val="69293A97"/>
    <w:rsid w:val="697D7695"/>
    <w:rsid w:val="698412BB"/>
    <w:rsid w:val="69970CFC"/>
    <w:rsid w:val="69F510AF"/>
    <w:rsid w:val="6A2A3693"/>
    <w:rsid w:val="6A64073C"/>
    <w:rsid w:val="6A6D6256"/>
    <w:rsid w:val="6A9A3922"/>
    <w:rsid w:val="6AAA428D"/>
    <w:rsid w:val="6ABC4B87"/>
    <w:rsid w:val="6ADD1A8F"/>
    <w:rsid w:val="6B0E7C9A"/>
    <w:rsid w:val="6B5F6AEF"/>
    <w:rsid w:val="6B895A13"/>
    <w:rsid w:val="6BD00885"/>
    <w:rsid w:val="6BE73B10"/>
    <w:rsid w:val="6BEF05F2"/>
    <w:rsid w:val="6C1D3FFB"/>
    <w:rsid w:val="6C3263E9"/>
    <w:rsid w:val="6C432E67"/>
    <w:rsid w:val="6C634496"/>
    <w:rsid w:val="6CAA00DA"/>
    <w:rsid w:val="6CAF3D18"/>
    <w:rsid w:val="6DA316F3"/>
    <w:rsid w:val="6E390795"/>
    <w:rsid w:val="6E467F58"/>
    <w:rsid w:val="6E6D24DE"/>
    <w:rsid w:val="6EA97A41"/>
    <w:rsid w:val="6F1522D2"/>
    <w:rsid w:val="6F3A720A"/>
    <w:rsid w:val="6F48488B"/>
    <w:rsid w:val="6FCD1A07"/>
    <w:rsid w:val="70001B89"/>
    <w:rsid w:val="70394148"/>
    <w:rsid w:val="705C64BC"/>
    <w:rsid w:val="70784693"/>
    <w:rsid w:val="70896339"/>
    <w:rsid w:val="70B743AC"/>
    <w:rsid w:val="70CC50E5"/>
    <w:rsid w:val="70DC1411"/>
    <w:rsid w:val="70ED5B50"/>
    <w:rsid w:val="71320EF9"/>
    <w:rsid w:val="71741A26"/>
    <w:rsid w:val="720E67CE"/>
    <w:rsid w:val="721956CA"/>
    <w:rsid w:val="72236BCC"/>
    <w:rsid w:val="722B5EBB"/>
    <w:rsid w:val="723A34D6"/>
    <w:rsid w:val="72647DAD"/>
    <w:rsid w:val="726C3F06"/>
    <w:rsid w:val="72B30147"/>
    <w:rsid w:val="72F87FF8"/>
    <w:rsid w:val="73414817"/>
    <w:rsid w:val="735370FB"/>
    <w:rsid w:val="739E06BE"/>
    <w:rsid w:val="73AC3764"/>
    <w:rsid w:val="73BD7587"/>
    <w:rsid w:val="73CB1653"/>
    <w:rsid w:val="73DC7735"/>
    <w:rsid w:val="744C085C"/>
    <w:rsid w:val="74973FAB"/>
    <w:rsid w:val="749E58D7"/>
    <w:rsid w:val="7506570B"/>
    <w:rsid w:val="7508673A"/>
    <w:rsid w:val="756E5768"/>
    <w:rsid w:val="762E79FE"/>
    <w:rsid w:val="763D7B70"/>
    <w:rsid w:val="769B4575"/>
    <w:rsid w:val="76A0757E"/>
    <w:rsid w:val="76D40945"/>
    <w:rsid w:val="76EE7288"/>
    <w:rsid w:val="76F0523E"/>
    <w:rsid w:val="76FB2C55"/>
    <w:rsid w:val="774B2F86"/>
    <w:rsid w:val="775514D3"/>
    <w:rsid w:val="776463BB"/>
    <w:rsid w:val="777637B0"/>
    <w:rsid w:val="78114EB6"/>
    <w:rsid w:val="781674B7"/>
    <w:rsid w:val="78311942"/>
    <w:rsid w:val="78317AAA"/>
    <w:rsid w:val="784B3AB9"/>
    <w:rsid w:val="78601C7E"/>
    <w:rsid w:val="789B553C"/>
    <w:rsid w:val="78D73F81"/>
    <w:rsid w:val="78DC2481"/>
    <w:rsid w:val="78EB795F"/>
    <w:rsid w:val="79044663"/>
    <w:rsid w:val="790C485A"/>
    <w:rsid w:val="792460F4"/>
    <w:rsid w:val="79345AF6"/>
    <w:rsid w:val="793831AB"/>
    <w:rsid w:val="793B5AC7"/>
    <w:rsid w:val="79426905"/>
    <w:rsid w:val="79473967"/>
    <w:rsid w:val="7960558F"/>
    <w:rsid w:val="79842164"/>
    <w:rsid w:val="79C86B7A"/>
    <w:rsid w:val="7A536441"/>
    <w:rsid w:val="7A876444"/>
    <w:rsid w:val="7A8D4F59"/>
    <w:rsid w:val="7A9E757F"/>
    <w:rsid w:val="7AD172E1"/>
    <w:rsid w:val="7ADF601D"/>
    <w:rsid w:val="7B0E7FFF"/>
    <w:rsid w:val="7B4E7378"/>
    <w:rsid w:val="7B502FE1"/>
    <w:rsid w:val="7B551829"/>
    <w:rsid w:val="7BBC06B3"/>
    <w:rsid w:val="7C245A38"/>
    <w:rsid w:val="7C311A37"/>
    <w:rsid w:val="7C515018"/>
    <w:rsid w:val="7C794539"/>
    <w:rsid w:val="7CA01139"/>
    <w:rsid w:val="7CE528A2"/>
    <w:rsid w:val="7CEC1279"/>
    <w:rsid w:val="7CF817F8"/>
    <w:rsid w:val="7DB61A0F"/>
    <w:rsid w:val="7DB90032"/>
    <w:rsid w:val="7DDB6515"/>
    <w:rsid w:val="7E07662B"/>
    <w:rsid w:val="7E245F13"/>
    <w:rsid w:val="7E441C34"/>
    <w:rsid w:val="7E687FFD"/>
    <w:rsid w:val="7EA445B2"/>
    <w:rsid w:val="7EA65585"/>
    <w:rsid w:val="7EBE07C2"/>
    <w:rsid w:val="7EC27113"/>
    <w:rsid w:val="7ECC1AB7"/>
    <w:rsid w:val="7EFE0D3C"/>
    <w:rsid w:val="7F256438"/>
    <w:rsid w:val="7F294F27"/>
    <w:rsid w:val="7F2975AB"/>
    <w:rsid w:val="7F3628CE"/>
    <w:rsid w:val="7F504E32"/>
    <w:rsid w:val="7F6247EF"/>
    <w:rsid w:val="7F7F1F77"/>
    <w:rsid w:val="7FB3344A"/>
    <w:rsid w:val="7FB74D40"/>
    <w:rsid w:val="7FCA32BD"/>
    <w:rsid w:val="7FCF1706"/>
    <w:rsid w:val="7FD57A81"/>
    <w:rsid w:val="7FE619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9"/>
    <w:qFormat/>
    <w:uiPriority w:val="0"/>
    <w:pPr>
      <w:keepNext/>
      <w:keepLines/>
      <w:spacing w:before="340" w:after="330" w:line="578" w:lineRule="auto"/>
      <w:outlineLvl w:val="0"/>
    </w:pPr>
    <w:rPr>
      <w:rFonts w:ascii="宋体" w:hAnsi="Courier New"/>
      <w:b/>
      <w:bCs/>
      <w:kern w:val="44"/>
      <w:sz w:val="44"/>
      <w:szCs w:val="4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left"/>
    </w:pPr>
    <w:rPr>
      <w:rFonts w:ascii="宋体" w:hAnsi="宋体" w:cs="宋体"/>
      <w:szCs w:val="21"/>
    </w:rPr>
  </w:style>
  <w:style w:type="paragraph" w:customStyle="1" w:styleId="3">
    <w:name w:val="Default"/>
    <w:qFormat/>
    <w:uiPriority w:val="0"/>
    <w:pPr>
      <w:widowControl w:val="0"/>
    </w:pPr>
    <w:rPr>
      <w:rFonts w:ascii="仿宋_GB2312" w:hAnsi="仿宋_GB2312" w:eastAsia="仿宋_GB2312" w:cs="仿宋_GB2312"/>
      <w:kern w:val="1"/>
      <w:sz w:val="24"/>
      <w:szCs w:val="24"/>
      <w:lang w:val="en-US" w:eastAsia="zh-CN" w:bidi="ar-SA"/>
    </w:rPr>
  </w:style>
  <w:style w:type="paragraph" w:styleId="5">
    <w:name w:val="toc 7"/>
    <w:basedOn w:val="1"/>
    <w:next w:val="1"/>
    <w:qFormat/>
    <w:uiPriority w:val="0"/>
    <w:pPr>
      <w:ind w:left="2520" w:leftChars="1200"/>
    </w:pPr>
  </w:style>
  <w:style w:type="paragraph" w:styleId="6">
    <w:name w:val="Document Map"/>
    <w:basedOn w:val="1"/>
    <w:link w:val="37"/>
    <w:qFormat/>
    <w:uiPriority w:val="0"/>
    <w:rPr>
      <w:rFonts w:ascii="宋体"/>
      <w:sz w:val="18"/>
      <w:szCs w:val="18"/>
    </w:rPr>
  </w:style>
  <w:style w:type="paragraph" w:styleId="7">
    <w:name w:val="annotation text"/>
    <w:basedOn w:val="1"/>
    <w:link w:val="43"/>
    <w:qFormat/>
    <w:uiPriority w:val="0"/>
    <w:pPr>
      <w:jc w:val="left"/>
    </w:pPr>
  </w:style>
  <w:style w:type="paragraph" w:styleId="8">
    <w:name w:val="Body Text Indent"/>
    <w:basedOn w:val="1"/>
    <w:qFormat/>
    <w:uiPriority w:val="0"/>
    <w:pPr>
      <w:ind w:right="105" w:rightChars="50" w:firstLine="540" w:firstLineChars="257"/>
    </w:pPr>
  </w:style>
  <w:style w:type="paragraph" w:styleId="9">
    <w:name w:val="toc 5"/>
    <w:basedOn w:val="1"/>
    <w:next w:val="1"/>
    <w:qFormat/>
    <w:uiPriority w:val="0"/>
    <w:pPr>
      <w:ind w:left="1680" w:leftChars="800"/>
    </w:pPr>
  </w:style>
  <w:style w:type="paragraph" w:styleId="10">
    <w:name w:val="toc 3"/>
    <w:basedOn w:val="1"/>
    <w:next w:val="1"/>
    <w:qFormat/>
    <w:uiPriority w:val="0"/>
    <w:pPr>
      <w:ind w:left="840" w:leftChars="400"/>
    </w:pPr>
  </w:style>
  <w:style w:type="paragraph" w:styleId="11">
    <w:name w:val="toc 8"/>
    <w:basedOn w:val="1"/>
    <w:next w:val="1"/>
    <w:qFormat/>
    <w:uiPriority w:val="0"/>
    <w:pPr>
      <w:ind w:left="2940" w:leftChars="1400"/>
    </w:pPr>
  </w:style>
  <w:style w:type="paragraph" w:styleId="12">
    <w:name w:val="Balloon Text"/>
    <w:basedOn w:val="1"/>
    <w:link w:val="38"/>
    <w:qFormat/>
    <w:uiPriority w:val="0"/>
    <w:rPr>
      <w:sz w:val="18"/>
      <w:szCs w:val="18"/>
    </w:rPr>
  </w:style>
  <w:style w:type="paragraph" w:styleId="13">
    <w:name w:val="footer"/>
    <w:basedOn w:val="1"/>
    <w:link w:val="36"/>
    <w:qFormat/>
    <w:uiPriority w:val="0"/>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style>
  <w:style w:type="paragraph" w:styleId="16">
    <w:name w:val="toc 4"/>
    <w:basedOn w:val="1"/>
    <w:next w:val="1"/>
    <w:qFormat/>
    <w:uiPriority w:val="0"/>
    <w:pPr>
      <w:ind w:left="1260" w:leftChars="600"/>
    </w:pPr>
  </w:style>
  <w:style w:type="paragraph" w:styleId="17">
    <w:name w:val="toc 6"/>
    <w:basedOn w:val="1"/>
    <w:next w:val="1"/>
    <w:qFormat/>
    <w:uiPriority w:val="0"/>
    <w:pPr>
      <w:ind w:left="2100" w:leftChars="1000"/>
    </w:pPr>
  </w:style>
  <w:style w:type="paragraph" w:styleId="18">
    <w:name w:val="toc 2"/>
    <w:basedOn w:val="1"/>
    <w:next w:val="1"/>
    <w:qFormat/>
    <w:uiPriority w:val="39"/>
    <w:pPr>
      <w:ind w:left="420" w:leftChars="200"/>
    </w:pPr>
  </w:style>
  <w:style w:type="paragraph" w:styleId="19">
    <w:name w:val="toc 9"/>
    <w:basedOn w:val="1"/>
    <w:next w:val="1"/>
    <w:qFormat/>
    <w:uiPriority w:val="0"/>
    <w:pPr>
      <w:ind w:left="3360" w:leftChars="1600"/>
    </w:pPr>
  </w:style>
  <w:style w:type="paragraph" w:styleId="20">
    <w:name w:val="Normal (Web)"/>
    <w:basedOn w:val="1"/>
    <w:qFormat/>
    <w:uiPriority w:val="0"/>
    <w:pPr>
      <w:spacing w:before="100" w:beforeAutospacing="1" w:after="100" w:afterAutospacing="1"/>
      <w:jc w:val="left"/>
    </w:pPr>
    <w:rPr>
      <w:kern w:val="0"/>
      <w:sz w:val="24"/>
    </w:rPr>
  </w:style>
  <w:style w:type="paragraph" w:styleId="21">
    <w:name w:val="Title"/>
    <w:basedOn w:val="1"/>
    <w:next w:val="1"/>
    <w:qFormat/>
    <w:uiPriority w:val="0"/>
    <w:pPr>
      <w:spacing w:before="240" w:after="60"/>
      <w:jc w:val="left"/>
      <w:outlineLvl w:val="0"/>
    </w:pPr>
    <w:rPr>
      <w:rFonts w:ascii="Cambria" w:hAnsi="Cambria"/>
      <w:b/>
      <w:bCs/>
      <w:kern w:val="0"/>
      <w:sz w:val="28"/>
      <w:szCs w:val="32"/>
    </w:rPr>
  </w:style>
  <w:style w:type="paragraph" w:styleId="22">
    <w:name w:val="annotation subject"/>
    <w:basedOn w:val="7"/>
    <w:next w:val="7"/>
    <w:link w:val="42"/>
    <w:qFormat/>
    <w:uiPriority w:val="0"/>
    <w:rPr>
      <w:b/>
      <w:bCs/>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FollowedHyperlink"/>
    <w:basedOn w:val="25"/>
    <w:qFormat/>
    <w:uiPriority w:val="0"/>
    <w:rPr>
      <w:rFonts w:hint="eastAsia" w:ascii="宋体" w:hAnsi="宋体" w:eastAsia="宋体" w:cs="宋体"/>
      <w:color w:val="333333"/>
      <w:u w:val="none"/>
    </w:rPr>
  </w:style>
  <w:style w:type="character" w:styleId="28">
    <w:name w:val="Emphasis"/>
    <w:basedOn w:val="25"/>
    <w:qFormat/>
    <w:uiPriority w:val="0"/>
  </w:style>
  <w:style w:type="character" w:styleId="29">
    <w:name w:val="HTML Definition"/>
    <w:basedOn w:val="25"/>
    <w:qFormat/>
    <w:uiPriority w:val="0"/>
  </w:style>
  <w:style w:type="character" w:styleId="30">
    <w:name w:val="HTML Acronym"/>
    <w:basedOn w:val="25"/>
    <w:qFormat/>
    <w:uiPriority w:val="0"/>
  </w:style>
  <w:style w:type="character" w:styleId="31">
    <w:name w:val="HTML Variable"/>
    <w:basedOn w:val="25"/>
    <w:qFormat/>
    <w:uiPriority w:val="0"/>
  </w:style>
  <w:style w:type="character" w:styleId="32">
    <w:name w:val="Hyperlink"/>
    <w:basedOn w:val="25"/>
    <w:qFormat/>
    <w:uiPriority w:val="99"/>
    <w:rPr>
      <w:rFonts w:hint="eastAsia" w:ascii="宋体" w:hAnsi="宋体" w:eastAsia="宋体" w:cs="宋体"/>
      <w:color w:val="333333"/>
      <w:u w:val="none"/>
    </w:rPr>
  </w:style>
  <w:style w:type="character" w:styleId="33">
    <w:name w:val="HTML Code"/>
    <w:basedOn w:val="25"/>
    <w:qFormat/>
    <w:uiPriority w:val="0"/>
    <w:rPr>
      <w:rFonts w:ascii="Courier New" w:hAnsi="Courier New"/>
      <w:sz w:val="20"/>
    </w:rPr>
  </w:style>
  <w:style w:type="character" w:styleId="34">
    <w:name w:val="annotation reference"/>
    <w:qFormat/>
    <w:uiPriority w:val="0"/>
    <w:rPr>
      <w:sz w:val="21"/>
      <w:szCs w:val="21"/>
    </w:rPr>
  </w:style>
  <w:style w:type="character" w:styleId="35">
    <w:name w:val="HTML Cite"/>
    <w:basedOn w:val="25"/>
    <w:qFormat/>
    <w:uiPriority w:val="0"/>
  </w:style>
  <w:style w:type="character" w:customStyle="1" w:styleId="36">
    <w:name w:val="页脚 Char"/>
    <w:link w:val="13"/>
    <w:qFormat/>
    <w:uiPriority w:val="0"/>
    <w:rPr>
      <w:kern w:val="2"/>
      <w:sz w:val="18"/>
      <w:szCs w:val="18"/>
    </w:rPr>
  </w:style>
  <w:style w:type="character" w:customStyle="1" w:styleId="37">
    <w:name w:val="文档结构图 Char"/>
    <w:basedOn w:val="25"/>
    <w:link w:val="6"/>
    <w:qFormat/>
    <w:uiPriority w:val="0"/>
    <w:rPr>
      <w:rFonts w:ascii="宋体"/>
      <w:kern w:val="2"/>
      <w:sz w:val="18"/>
      <w:szCs w:val="18"/>
    </w:rPr>
  </w:style>
  <w:style w:type="character" w:customStyle="1" w:styleId="38">
    <w:name w:val="批注框文本 Char"/>
    <w:link w:val="12"/>
    <w:qFormat/>
    <w:uiPriority w:val="0"/>
    <w:rPr>
      <w:kern w:val="2"/>
      <w:sz w:val="18"/>
      <w:szCs w:val="18"/>
    </w:rPr>
  </w:style>
  <w:style w:type="character" w:customStyle="1" w:styleId="39">
    <w:name w:val="标题 1 Char"/>
    <w:link w:val="4"/>
    <w:qFormat/>
    <w:uiPriority w:val="0"/>
    <w:rPr>
      <w:rFonts w:ascii="宋体" w:hAnsi="Courier New"/>
      <w:b/>
      <w:bCs/>
      <w:kern w:val="44"/>
      <w:sz w:val="44"/>
      <w:szCs w:val="44"/>
    </w:rPr>
  </w:style>
  <w:style w:type="character" w:customStyle="1" w:styleId="40">
    <w:name w:val="正文文本5 Char"/>
    <w:link w:val="41"/>
    <w:qFormat/>
    <w:uiPriority w:val="0"/>
    <w:rPr>
      <w:rFonts w:ascii="MingLiU" w:hAnsi="MingLiU" w:eastAsia="MingLiU"/>
      <w:kern w:val="0"/>
      <w:sz w:val="20"/>
      <w:szCs w:val="20"/>
      <w:shd w:val="clear" w:color="auto" w:fill="FFFFFF"/>
    </w:rPr>
  </w:style>
  <w:style w:type="paragraph" w:customStyle="1" w:styleId="41">
    <w:name w:val="正文文本5"/>
    <w:basedOn w:val="1"/>
    <w:link w:val="40"/>
    <w:qFormat/>
    <w:uiPriority w:val="0"/>
    <w:pPr>
      <w:widowControl/>
      <w:shd w:val="clear" w:color="auto" w:fill="FFFFFF"/>
      <w:spacing w:line="0" w:lineRule="atLeast"/>
      <w:ind w:hanging="560"/>
      <w:jc w:val="left"/>
    </w:pPr>
    <w:rPr>
      <w:rFonts w:ascii="MingLiU" w:hAnsi="MingLiU" w:eastAsia="MingLiU"/>
      <w:kern w:val="0"/>
      <w:sz w:val="20"/>
      <w:szCs w:val="20"/>
      <w:shd w:val="clear" w:color="auto" w:fill="FFFFFF"/>
    </w:rPr>
  </w:style>
  <w:style w:type="character" w:customStyle="1" w:styleId="42">
    <w:name w:val="批注主题 Char"/>
    <w:link w:val="22"/>
    <w:qFormat/>
    <w:uiPriority w:val="0"/>
    <w:rPr>
      <w:b/>
      <w:bCs/>
      <w:kern w:val="2"/>
      <w:sz w:val="21"/>
      <w:szCs w:val="24"/>
    </w:rPr>
  </w:style>
  <w:style w:type="character" w:customStyle="1" w:styleId="43">
    <w:name w:val="批注文字 Char"/>
    <w:link w:val="7"/>
    <w:qFormat/>
    <w:uiPriority w:val="0"/>
    <w:rPr>
      <w:kern w:val="2"/>
      <w:sz w:val="21"/>
      <w:szCs w:val="24"/>
    </w:rPr>
  </w:style>
  <w:style w:type="paragraph" w:customStyle="1" w:styleId="44">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列出段落1"/>
    <w:qFormat/>
    <w:uiPriority w:val="34"/>
    <w:pPr>
      <w:ind w:firstLine="420" w:firstLineChars="200"/>
    </w:pPr>
    <w:rPr>
      <w:rFonts w:ascii="Times New Roman" w:hAnsi="Times New Roman" w:eastAsia="宋体" w:cs="Times New Roman"/>
      <w:lang w:val="en-US" w:eastAsia="zh-CN" w:bidi="ar-SA"/>
    </w:rPr>
  </w:style>
  <w:style w:type="paragraph" w:customStyle="1" w:styleId="46">
    <w:name w:val="Level 1 New"/>
    <w:qFormat/>
    <w:uiPriority w:val="0"/>
    <w:pPr>
      <w:tabs>
        <w:tab w:val="left" w:pos="360"/>
      </w:tabs>
      <w:adjustRightInd w:val="0"/>
      <w:spacing w:before="240" w:after="400" w:line="400" w:lineRule="exact"/>
      <w:ind w:left="360" w:hanging="360"/>
      <w:jc w:val="center"/>
      <w:textAlignment w:val="baseline"/>
      <w:outlineLvl w:val="0"/>
    </w:pPr>
    <w:rPr>
      <w:rFonts w:ascii="Arial" w:hAnsi="Arial" w:eastAsia="华文楷体" w:cs="Times New Roman"/>
      <w:b/>
      <w:kern w:val="28"/>
      <w:sz w:val="32"/>
      <w:lang w:val="en-US" w:eastAsia="zh-CN" w:bidi="ar-SA"/>
    </w:rPr>
  </w:style>
  <w:style w:type="paragraph" w:customStyle="1" w:styleId="47">
    <w:name w:val="标题 2 New"/>
    <w:basedOn w:val="1"/>
    <w:next w:val="1"/>
    <w:qFormat/>
    <w:uiPriority w:val="0"/>
    <w:pPr>
      <w:keepNext/>
      <w:jc w:val="center"/>
      <w:outlineLvl w:val="1"/>
    </w:pPr>
    <w:rPr>
      <w:b/>
      <w:bCs/>
      <w:sz w:val="28"/>
      <w:szCs w:val="32"/>
    </w:rPr>
  </w:style>
  <w:style w:type="paragraph" w:customStyle="1" w:styleId="48">
    <w:name w:val="正文 New New New New New New New New New New New New New New New New New New New New New New New New New New New New New New New New New New New New New"/>
    <w:qFormat/>
    <w:uiPriority w:val="0"/>
    <w:pPr>
      <w:spacing w:line="360" w:lineRule="auto"/>
    </w:pPr>
    <w:rPr>
      <w:rFonts w:ascii="Times New Roman" w:hAnsi="Times New Roman" w:eastAsia="宋体" w:cs="Times New Roman"/>
      <w:kern w:val="2"/>
      <w:sz w:val="21"/>
      <w:szCs w:val="24"/>
      <w:lang w:val="en-US" w:eastAsia="zh-CN" w:bidi="ar-SA"/>
    </w:rPr>
  </w:style>
  <w:style w:type="paragraph" w:customStyle="1" w:styleId="49">
    <w:name w:val="Normal New New New New New"/>
    <w:qFormat/>
    <w:uiPriority w:val="0"/>
    <w:pPr>
      <w:jc w:val="both"/>
    </w:pPr>
    <w:rPr>
      <w:rFonts w:hint="eastAsia" w:ascii="Times New Roman" w:hAnsi="Times New Roman" w:eastAsia="宋体" w:cs="Times New Roman"/>
      <w:kern w:val="2"/>
      <w:sz w:val="21"/>
      <w:lang w:val="en-US" w:eastAsia="zh-CN" w:bidi="ar-SA"/>
    </w:rPr>
  </w:style>
  <w:style w:type="paragraph" w:customStyle="1" w:styleId="50">
    <w:name w:val="SH217 1"/>
    <w:basedOn w:val="51"/>
    <w:qFormat/>
    <w:uiPriority w:val="0"/>
    <w:pPr>
      <w:tabs>
        <w:tab w:val="left" w:pos="360"/>
      </w:tabs>
      <w:ind w:left="420" w:hanging="420"/>
    </w:pPr>
    <w:rPr>
      <w:rFonts w:eastAsia="宋体"/>
    </w:rPr>
  </w:style>
  <w:style w:type="paragraph" w:customStyle="1" w:styleId="51">
    <w:name w:val="Level 1"/>
    <w:qFormat/>
    <w:uiPriority w:val="0"/>
    <w:pPr>
      <w:tabs>
        <w:tab w:val="left" w:pos="360"/>
      </w:tabs>
      <w:adjustRightInd w:val="0"/>
      <w:spacing w:before="240" w:after="400" w:line="400" w:lineRule="exact"/>
      <w:ind w:left="360" w:hanging="360"/>
      <w:jc w:val="center"/>
      <w:textAlignment w:val="baseline"/>
      <w:outlineLvl w:val="0"/>
    </w:pPr>
    <w:rPr>
      <w:rFonts w:ascii="Arial" w:hAnsi="Arial" w:eastAsia="华文楷体" w:cs="Times New Roman"/>
      <w:b/>
      <w:kern w:val="28"/>
      <w:sz w:val="32"/>
      <w:lang w:val="en-US" w:eastAsia="zh-CN" w:bidi="ar-SA"/>
    </w:rPr>
  </w:style>
  <w:style w:type="paragraph" w:customStyle="1" w:styleId="52">
    <w:name w:val="SH217 1 New"/>
    <w:basedOn w:val="46"/>
    <w:qFormat/>
    <w:uiPriority w:val="0"/>
    <w:pPr>
      <w:ind w:left="420" w:hanging="420"/>
    </w:pPr>
  </w:style>
  <w:style w:type="paragraph" w:customStyle="1" w:styleId="53">
    <w:name w:val="Level 1 New New"/>
    <w:qFormat/>
    <w:uiPriority w:val="0"/>
    <w:pPr>
      <w:tabs>
        <w:tab w:val="left" w:pos="360"/>
      </w:tabs>
      <w:adjustRightInd w:val="0"/>
      <w:spacing w:before="240" w:after="400" w:line="400" w:lineRule="exact"/>
      <w:ind w:left="360" w:hanging="360"/>
      <w:jc w:val="center"/>
      <w:textAlignment w:val="baseline"/>
      <w:outlineLvl w:val="0"/>
    </w:pPr>
    <w:rPr>
      <w:rFonts w:ascii="Arial" w:hAnsi="Arial" w:eastAsia="华文楷体" w:cs="Times New Roman"/>
      <w:b/>
      <w:kern w:val="28"/>
      <w:sz w:val="32"/>
      <w:lang w:val="en-US" w:eastAsia="zh-CN" w:bidi="ar-SA"/>
    </w:rPr>
  </w:style>
  <w:style w:type="paragraph" w:customStyle="1" w:styleId="54">
    <w:name w:val="正文 New New New New New New New New New New New New New New New New New New New New New New New New"/>
    <w:qFormat/>
    <w:uiPriority w:val="0"/>
    <w:pPr>
      <w:spacing w:line="360" w:lineRule="auto"/>
    </w:pPr>
    <w:rPr>
      <w:rFonts w:ascii="Times New Roman" w:hAnsi="Times New Roman" w:eastAsia="宋体" w:cs="Times New Roman"/>
      <w:kern w:val="2"/>
      <w:sz w:val="21"/>
      <w:szCs w:val="24"/>
      <w:lang w:val="en-US" w:eastAsia="zh-CN" w:bidi="ar-SA"/>
    </w:rPr>
  </w:style>
  <w:style w:type="paragraph" w:customStyle="1" w:styleId="55">
    <w:name w:val="SH217 1 New New"/>
    <w:basedOn w:val="53"/>
    <w:qFormat/>
    <w:uiPriority w:val="0"/>
    <w:pPr>
      <w:ind w:left="420" w:hanging="420"/>
    </w:pPr>
    <w:rPr>
      <w:rFonts w:eastAsia="宋体"/>
    </w:rPr>
  </w:style>
  <w:style w:type="paragraph" w:customStyle="1" w:styleId="5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7">
    <w:name w:val="List Paragraph"/>
    <w:basedOn w:val="1"/>
    <w:unhideWhenUsed/>
    <w:qFormat/>
    <w:uiPriority w:val="99"/>
    <w:pPr>
      <w:ind w:firstLine="420" w:firstLineChars="200"/>
    </w:pPr>
  </w:style>
  <w:style w:type="character" w:customStyle="1" w:styleId="58">
    <w:name w:val="nth-child(2)"/>
    <w:basedOn w:val="25"/>
    <w:qFormat/>
    <w:uiPriority w:val="0"/>
  </w:style>
  <w:style w:type="character" w:customStyle="1" w:styleId="59">
    <w:name w:val="first-child"/>
    <w:basedOn w:val="25"/>
    <w:qFormat/>
    <w:uiPriority w:val="0"/>
  </w:style>
  <w:style w:type="character" w:customStyle="1" w:styleId="60">
    <w:name w:val="info"/>
    <w:basedOn w:val="25"/>
    <w:qFormat/>
    <w:uiPriority w:val="0"/>
    <w:rPr>
      <w:color w:val="999999"/>
      <w:sz w:val="21"/>
      <w:szCs w:val="21"/>
    </w:rPr>
  </w:style>
  <w:style w:type="character" w:customStyle="1" w:styleId="61">
    <w:name w:val="mail"/>
    <w:basedOn w:val="25"/>
    <w:qFormat/>
    <w:uiPriority w:val="0"/>
  </w:style>
  <w:style w:type="character" w:customStyle="1" w:styleId="62">
    <w:name w:val="info1"/>
    <w:basedOn w:val="25"/>
    <w:qFormat/>
    <w:uiPriority w:val="0"/>
    <w:rPr>
      <w:color w:val="999999"/>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10781</Words>
  <Characters>11461</Characters>
  <Lines>92</Lines>
  <Paragraphs>25</Paragraphs>
  <TotalTime>21</TotalTime>
  <ScaleCrop>false</ScaleCrop>
  <LinksUpToDate>false</LinksUpToDate>
  <CharactersWithSpaces>12188</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2017-08-21T05:05:00Z</dcterms:created>
  <dc:creator>User</dc:creator>
  <cp:lastModifiedBy>高晓艳</cp:lastModifiedBy>
  <cp:lastPrinted>2018-12-13T09:46:00Z</cp:lastPrinted>
  <dcterms:modified xsi:type="dcterms:W3CDTF">2021-06-22T00:20:16Z</dcterms:modified>
  <dc:title>招标公告</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31DAB61AD2CC4940B8D98D34FE772ED9</vt:lpwstr>
  </property>
</Properties>
</file>